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DB" w:rsidRDefault="00477DDB" w:rsidP="00477DDB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:rsidR="00477DDB" w:rsidRDefault="00477DDB" w:rsidP="00477DD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7DDB" w:rsidRDefault="00477DDB" w:rsidP="00477DDB"/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477DDB" w:rsidTr="00477DDB">
        <w:trPr>
          <w:jc w:val="right"/>
        </w:trPr>
        <w:tc>
          <w:tcPr>
            <w:tcW w:w="5134" w:type="dxa"/>
            <w:gridSpan w:val="2"/>
            <w:hideMark/>
          </w:tcPr>
          <w:p w:rsidR="00477DDB" w:rsidRDefault="00477DDB"/>
        </w:tc>
      </w:tr>
      <w:tr w:rsidR="00477DDB" w:rsidTr="00477DDB">
        <w:trPr>
          <w:jc w:val="right"/>
        </w:trPr>
        <w:tc>
          <w:tcPr>
            <w:tcW w:w="5134" w:type="dxa"/>
            <w:gridSpan w:val="2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  <w:lang w:val="kk-KZ"/>
              </w:rPr>
              <w:t>"</w:t>
            </w:r>
            <w:r>
              <w:rPr>
                <w:b/>
                <w:sz w:val="24"/>
                <w:szCs w:val="24"/>
              </w:rPr>
              <w:t>Отбасы банк</w:t>
            </w:r>
            <w:r>
              <w:rPr>
                <w:sz w:val="24"/>
                <w:szCs w:val="24"/>
                <w:lang w:val="kk-KZ"/>
              </w:rPr>
              <w:t>"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(ФИО)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пропис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(дом)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(раб)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(моб)</w:t>
            </w:r>
          </w:p>
        </w:tc>
        <w:tc>
          <w:tcPr>
            <w:tcW w:w="2976" w:type="dxa"/>
            <w:hideMark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477DDB" w:rsidTr="00477DDB">
        <w:trPr>
          <w:jc w:val="right"/>
        </w:trPr>
        <w:tc>
          <w:tcPr>
            <w:tcW w:w="2158" w:type="dxa"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77DDB" w:rsidRDefault="00477DD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77DDB" w:rsidRDefault="00477DDB" w:rsidP="00477DDB">
      <w:pPr>
        <w:spacing w:after="120"/>
        <w:jc w:val="both"/>
        <w:rPr>
          <w:sz w:val="24"/>
          <w:szCs w:val="24"/>
        </w:rPr>
      </w:pPr>
    </w:p>
    <w:p w:rsidR="00477DDB" w:rsidRDefault="00477DDB" w:rsidP="00477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77DDB" w:rsidRDefault="00477DDB" w:rsidP="00477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DDB" w:rsidRDefault="00477DDB" w:rsidP="00477D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мне отсрочку по погашению основного долга, вознаграждения и взносов во вклад (при наличии для предварительного займа) с 01.01.2021 года по 01.07.2021 года с одновременным продлением срока кредитования на 6 месяцев по договору банковского займа №____ от ________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7DDB" w:rsidRDefault="00477DDB" w:rsidP="00477D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:rsidR="00477DDB" w:rsidRDefault="00477DDB" w:rsidP="00477D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переход на жилищный заем по предварительному/промежуточному займу будет осуществляться только при обращении в отделения Банка с заявлением (автопереход исключается);</w:t>
      </w:r>
    </w:p>
    <w:p w:rsidR="00477DDB" w:rsidRDefault="00477DDB" w:rsidP="00477D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такие операции как: частичное/полное погашение займа, изменение даты погашения по займу, а также переход на жилищный заем по займу, по которому была предоставлена отсрочка (кроме отсрочки "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-19") -  доступны после погашения отсроченных платежей; </w:t>
      </w:r>
    </w:p>
    <w:p w:rsidR="00477DDB" w:rsidRDefault="00477DDB" w:rsidP="00477D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предоставляемыми условиями по отсрочке ознакомлен и согласен. В дальнейшем претензий к Банку иметь не буду.</w:t>
      </w:r>
    </w:p>
    <w:p w:rsidR="00477DDB" w:rsidRDefault="00477DDB" w:rsidP="00477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DDB" w:rsidRDefault="00477DDB" w:rsidP="00477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заявления: "___" _________ 20___ г.</w:t>
      </w:r>
    </w:p>
    <w:p w:rsidR="00477DDB" w:rsidRDefault="00477DDB" w:rsidP="00477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DDB" w:rsidRDefault="00477DDB" w:rsidP="00477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Заемщика ______________</w:t>
      </w:r>
    </w:p>
    <w:p w:rsidR="00477DDB" w:rsidRDefault="00477DDB" w:rsidP="00477D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161" w:rsidRDefault="005F2161"/>
    <w:sectPr w:rsidR="005F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D4"/>
    <w:rsid w:val="002A09D4"/>
    <w:rsid w:val="00477DDB"/>
    <w:rsid w:val="005F2161"/>
    <w:rsid w:val="00B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9D89-A082-428E-8E77-1EED13F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7DD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47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Битимбаева Мадина</dc:creator>
  <cp:keywords/>
  <dc:description/>
  <cp:lastModifiedBy>Токешова Бахытгуль Амирханқызы</cp:lastModifiedBy>
  <cp:revision>2</cp:revision>
  <dcterms:created xsi:type="dcterms:W3CDTF">2021-01-05T07:22:00Z</dcterms:created>
  <dcterms:modified xsi:type="dcterms:W3CDTF">2021-01-05T07:22:00Z</dcterms:modified>
</cp:coreProperties>
</file>