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199" w:rsidRPr="00AE7DB5" w:rsidRDefault="00203106" w:rsidP="00BB79E8">
      <w:pPr>
        <w:pStyle w:val="a3"/>
        <w:tabs>
          <w:tab w:val="left" w:pos="426"/>
          <w:tab w:val="left" w:pos="567"/>
        </w:tabs>
        <w:spacing w:line="240" w:lineRule="auto"/>
        <w:ind w:left="0"/>
        <w:jc w:val="center"/>
        <w:rPr>
          <w:rFonts w:cs="Times New Roman"/>
          <w:b/>
          <w:sz w:val="20"/>
          <w:szCs w:val="20"/>
        </w:rPr>
      </w:pPr>
      <w:r w:rsidRPr="00AE7DB5">
        <w:rPr>
          <w:rFonts w:cs="Times New Roman"/>
          <w:b/>
          <w:sz w:val="20"/>
          <w:szCs w:val="20"/>
        </w:rPr>
        <w:t>Анал</w:t>
      </w:r>
      <w:r w:rsidR="00BB79E8" w:rsidRPr="00AE7DB5">
        <w:rPr>
          <w:rFonts w:cs="Times New Roman"/>
          <w:b/>
          <w:sz w:val="20"/>
          <w:szCs w:val="20"/>
        </w:rPr>
        <w:t xml:space="preserve">из БВУ и рынка недвижимости </w:t>
      </w:r>
      <w:r w:rsidR="00240F6C" w:rsidRPr="00AE7DB5">
        <w:rPr>
          <w:rFonts w:cs="Times New Roman"/>
          <w:b/>
          <w:sz w:val="20"/>
          <w:szCs w:val="20"/>
        </w:rPr>
        <w:t xml:space="preserve">по состоянию </w:t>
      </w:r>
      <w:r w:rsidR="00BB79E8" w:rsidRPr="00AE7DB5">
        <w:rPr>
          <w:rFonts w:cs="Times New Roman"/>
          <w:b/>
          <w:sz w:val="20"/>
          <w:szCs w:val="20"/>
        </w:rPr>
        <w:t>на 01.01.20</w:t>
      </w:r>
      <w:r w:rsidR="00857554" w:rsidRPr="00AE7DB5">
        <w:rPr>
          <w:rFonts w:cs="Times New Roman"/>
          <w:b/>
          <w:sz w:val="20"/>
          <w:szCs w:val="20"/>
        </w:rPr>
        <w:t>2</w:t>
      </w:r>
      <w:r w:rsidR="001D1A6B">
        <w:rPr>
          <w:rFonts w:cs="Times New Roman"/>
          <w:b/>
          <w:sz w:val="20"/>
          <w:szCs w:val="20"/>
        </w:rPr>
        <w:t>1</w:t>
      </w:r>
      <w:r w:rsidR="00240F6C" w:rsidRPr="00AE7DB5">
        <w:rPr>
          <w:rFonts w:cs="Times New Roman"/>
          <w:b/>
          <w:sz w:val="20"/>
          <w:szCs w:val="20"/>
        </w:rPr>
        <w:t xml:space="preserve"> </w:t>
      </w:r>
      <w:r w:rsidR="00BB79E8" w:rsidRPr="00AE7DB5">
        <w:rPr>
          <w:rFonts w:cs="Times New Roman"/>
          <w:b/>
          <w:sz w:val="20"/>
          <w:szCs w:val="20"/>
        </w:rPr>
        <w:t>г.</w:t>
      </w:r>
    </w:p>
    <w:p w:rsidR="00BB79E8" w:rsidRPr="00AE7DB5" w:rsidRDefault="00BB79E8" w:rsidP="00C50199">
      <w:pPr>
        <w:pStyle w:val="a3"/>
        <w:tabs>
          <w:tab w:val="left" w:pos="426"/>
          <w:tab w:val="left" w:pos="567"/>
        </w:tabs>
        <w:spacing w:line="240" w:lineRule="auto"/>
        <w:ind w:left="0"/>
        <w:jc w:val="both"/>
        <w:rPr>
          <w:rFonts w:cs="Times New Roman"/>
          <w:b/>
          <w:i/>
          <w:color w:val="1F3864" w:themeColor="accent5" w:themeShade="80"/>
          <w:sz w:val="20"/>
          <w:szCs w:val="20"/>
        </w:rPr>
      </w:pPr>
    </w:p>
    <w:p w:rsidR="00BB79E8" w:rsidRPr="00AE7DB5" w:rsidRDefault="00BB79E8" w:rsidP="00BB79E8">
      <w:pPr>
        <w:pStyle w:val="a3"/>
        <w:numPr>
          <w:ilvl w:val="0"/>
          <w:numId w:val="2"/>
        </w:numPr>
        <w:tabs>
          <w:tab w:val="left" w:pos="426"/>
          <w:tab w:val="left" w:pos="567"/>
        </w:tabs>
        <w:spacing w:line="240" w:lineRule="auto"/>
        <w:jc w:val="both"/>
        <w:rPr>
          <w:rFonts w:cs="Times New Roman"/>
          <w:b/>
          <w:color w:val="1F4E79" w:themeColor="accent1" w:themeShade="80"/>
          <w:sz w:val="20"/>
          <w:szCs w:val="20"/>
        </w:rPr>
      </w:pPr>
      <w:r w:rsidRPr="00AE7DB5">
        <w:rPr>
          <w:rFonts w:cs="Times New Roman"/>
          <w:b/>
          <w:color w:val="1F4E79" w:themeColor="accent1" w:themeShade="80"/>
          <w:sz w:val="20"/>
          <w:szCs w:val="20"/>
        </w:rPr>
        <w:t>Банковский сектор</w:t>
      </w:r>
    </w:p>
    <w:p w:rsidR="00AE7DB5" w:rsidRDefault="00AE7DB5" w:rsidP="00D422BF">
      <w:pPr>
        <w:pStyle w:val="a3"/>
        <w:tabs>
          <w:tab w:val="left" w:pos="426"/>
          <w:tab w:val="left" w:pos="567"/>
        </w:tabs>
        <w:spacing w:after="0" w:line="240" w:lineRule="auto"/>
        <w:ind w:left="0"/>
        <w:jc w:val="center"/>
        <w:rPr>
          <w:rFonts w:cs="Times New Roman"/>
          <w:b/>
          <w:bCs/>
          <w:color w:val="000000" w:themeColor="text1"/>
          <w:sz w:val="20"/>
          <w:szCs w:val="20"/>
        </w:rPr>
      </w:pPr>
    </w:p>
    <w:p w:rsidR="00C50199" w:rsidRPr="00AE7DB5" w:rsidRDefault="00C50199" w:rsidP="00D422BF">
      <w:pPr>
        <w:pStyle w:val="a3"/>
        <w:tabs>
          <w:tab w:val="left" w:pos="426"/>
          <w:tab w:val="left" w:pos="567"/>
        </w:tabs>
        <w:spacing w:after="0" w:line="240" w:lineRule="auto"/>
        <w:ind w:left="0"/>
        <w:jc w:val="center"/>
        <w:rPr>
          <w:rFonts w:cs="Times New Roman"/>
          <w:b/>
          <w:bCs/>
          <w:color w:val="000000" w:themeColor="text1"/>
          <w:sz w:val="20"/>
          <w:szCs w:val="20"/>
        </w:rPr>
      </w:pPr>
      <w:r w:rsidRPr="00AE7DB5">
        <w:rPr>
          <w:rFonts w:cs="Times New Roman"/>
          <w:b/>
          <w:bCs/>
          <w:color w:val="000000" w:themeColor="text1"/>
          <w:sz w:val="20"/>
          <w:szCs w:val="20"/>
        </w:rPr>
        <w:t xml:space="preserve">Показатели </w:t>
      </w:r>
      <w:r w:rsidR="003060AE" w:rsidRPr="00AE7DB5">
        <w:rPr>
          <w:rFonts w:cs="Times New Roman"/>
          <w:b/>
          <w:bCs/>
          <w:color w:val="000000" w:themeColor="text1"/>
          <w:sz w:val="20"/>
          <w:szCs w:val="20"/>
        </w:rPr>
        <w:t>БВУ</w:t>
      </w:r>
      <w:r w:rsidRPr="00AE7DB5">
        <w:rPr>
          <w:rFonts w:cs="Times New Roman"/>
          <w:b/>
          <w:bCs/>
          <w:color w:val="000000" w:themeColor="text1"/>
          <w:sz w:val="20"/>
          <w:szCs w:val="20"/>
        </w:rPr>
        <w:t xml:space="preserve"> по состоянию на 01.01.20</w:t>
      </w:r>
      <w:r w:rsidR="00F723C9">
        <w:rPr>
          <w:rFonts w:cs="Times New Roman"/>
          <w:b/>
          <w:bCs/>
          <w:color w:val="000000" w:themeColor="text1"/>
          <w:sz w:val="20"/>
          <w:szCs w:val="20"/>
        </w:rPr>
        <w:t>21</w:t>
      </w:r>
      <w:r w:rsidR="00076B09" w:rsidRPr="00AE7DB5">
        <w:rPr>
          <w:rFonts w:cs="Times New Roman"/>
          <w:b/>
          <w:bCs/>
          <w:color w:val="000000" w:themeColor="text1"/>
          <w:sz w:val="20"/>
          <w:szCs w:val="20"/>
        </w:rPr>
        <w:t>г.</w:t>
      </w:r>
    </w:p>
    <w:p w:rsidR="00076B09" w:rsidRPr="00AE7DB5" w:rsidRDefault="00076B09" w:rsidP="00D422BF">
      <w:pPr>
        <w:pStyle w:val="a3"/>
        <w:tabs>
          <w:tab w:val="left" w:pos="426"/>
          <w:tab w:val="left" w:pos="567"/>
        </w:tabs>
        <w:spacing w:after="0" w:line="240" w:lineRule="auto"/>
        <w:ind w:left="0"/>
        <w:jc w:val="center"/>
        <w:rPr>
          <w:rFonts w:cs="Times New Roman"/>
          <w:bCs/>
          <w:color w:val="000000" w:themeColor="text1"/>
          <w:sz w:val="20"/>
          <w:szCs w:val="20"/>
        </w:rPr>
      </w:pPr>
      <w:r w:rsidRPr="00AE7DB5">
        <w:rPr>
          <w:rFonts w:cs="Times New Roman"/>
          <w:bCs/>
          <w:i/>
          <w:color w:val="000000" w:themeColor="text1"/>
          <w:sz w:val="20"/>
          <w:szCs w:val="20"/>
        </w:rPr>
        <w:t xml:space="preserve">  </w:t>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00646484" w:rsidRPr="00AE7DB5">
        <w:rPr>
          <w:rFonts w:cs="Times New Roman"/>
          <w:bCs/>
          <w:i/>
          <w:color w:val="000000" w:themeColor="text1"/>
          <w:sz w:val="20"/>
          <w:szCs w:val="20"/>
        </w:rPr>
        <w:t xml:space="preserve">                                               </w:t>
      </w:r>
      <w:r w:rsidRPr="00AE7DB5">
        <w:rPr>
          <w:rFonts w:cs="Times New Roman"/>
          <w:bCs/>
          <w:color w:val="000000" w:themeColor="text1"/>
          <w:sz w:val="20"/>
          <w:szCs w:val="20"/>
        </w:rPr>
        <w:t>млрд.</w:t>
      </w:r>
      <w:r w:rsidR="00F955A9" w:rsidRPr="00AE7DB5">
        <w:rPr>
          <w:rFonts w:cs="Times New Roman"/>
          <w:bCs/>
          <w:color w:val="000000" w:themeColor="text1"/>
          <w:sz w:val="20"/>
          <w:szCs w:val="20"/>
        </w:rPr>
        <w:t xml:space="preserve"> </w:t>
      </w:r>
      <w:r w:rsidRPr="00AE7DB5">
        <w:rPr>
          <w:rFonts w:cs="Times New Roman"/>
          <w:bCs/>
          <w:color w:val="000000" w:themeColor="text1"/>
          <w:sz w:val="20"/>
          <w:szCs w:val="20"/>
        </w:rPr>
        <w:t>тенге</w:t>
      </w:r>
    </w:p>
    <w:tbl>
      <w:tblPr>
        <w:tblW w:w="9811" w:type="dxa"/>
        <w:tblInd w:w="-10" w:type="dxa"/>
        <w:tblLook w:val="04A0" w:firstRow="1" w:lastRow="0" w:firstColumn="1" w:lastColumn="0" w:noHBand="0" w:noVBand="1"/>
      </w:tblPr>
      <w:tblGrid>
        <w:gridCol w:w="3087"/>
        <w:gridCol w:w="1940"/>
        <w:gridCol w:w="2095"/>
        <w:gridCol w:w="2689"/>
      </w:tblGrid>
      <w:tr w:rsidR="001D1A6B" w:rsidRPr="001D1A6B" w:rsidTr="001D1A6B">
        <w:trPr>
          <w:trHeight w:val="255"/>
        </w:trPr>
        <w:tc>
          <w:tcPr>
            <w:tcW w:w="3087" w:type="dxa"/>
            <w:tcBorders>
              <w:top w:val="single" w:sz="8" w:space="0" w:color="95B3D7"/>
              <w:left w:val="single" w:sz="8" w:space="0" w:color="95B3D7"/>
              <w:bottom w:val="single" w:sz="8" w:space="0" w:color="95B3D7"/>
              <w:right w:val="nil"/>
            </w:tcBorders>
            <w:shd w:val="clear" w:color="000000" w:fill="9CC2E5"/>
            <w:vAlign w:val="center"/>
            <w:hideMark/>
          </w:tcPr>
          <w:p w:rsidR="001D1A6B" w:rsidRPr="001D1A6B" w:rsidRDefault="001D1A6B" w:rsidP="001D1A6B">
            <w:pPr>
              <w:spacing w:after="0" w:line="240" w:lineRule="auto"/>
              <w:rPr>
                <w:rFonts w:ascii="Calibri" w:eastAsia="Times New Roman" w:hAnsi="Calibri" w:cs="Calibri"/>
                <w:color w:val="000000"/>
                <w:lang w:eastAsia="ru-RU"/>
              </w:rPr>
            </w:pPr>
            <w:r w:rsidRPr="001D1A6B">
              <w:rPr>
                <w:rFonts w:ascii="Calibri" w:eastAsia="Times New Roman" w:hAnsi="Calibri" w:cs="Calibri"/>
                <w:color w:val="000000"/>
                <w:lang w:eastAsia="ru-RU"/>
              </w:rPr>
              <w:t> </w:t>
            </w:r>
          </w:p>
        </w:tc>
        <w:tc>
          <w:tcPr>
            <w:tcW w:w="1940" w:type="dxa"/>
            <w:tcBorders>
              <w:top w:val="single" w:sz="8" w:space="0" w:color="95B3D7"/>
              <w:left w:val="nil"/>
              <w:bottom w:val="single" w:sz="8" w:space="0" w:color="95B3D7"/>
              <w:right w:val="nil"/>
            </w:tcBorders>
            <w:shd w:val="clear" w:color="000000" w:fill="9CC2E5"/>
            <w:vAlign w:val="center"/>
            <w:hideMark/>
          </w:tcPr>
          <w:p w:rsidR="001D1A6B" w:rsidRPr="001D1A6B" w:rsidRDefault="001D1A6B" w:rsidP="001D1A6B">
            <w:pPr>
              <w:spacing w:after="0" w:line="240" w:lineRule="auto"/>
              <w:jc w:val="center"/>
              <w:rPr>
                <w:rFonts w:ascii="Calibri" w:eastAsia="Times New Roman" w:hAnsi="Calibri" w:cs="Calibri"/>
                <w:b/>
                <w:bCs/>
                <w:color w:val="000000"/>
                <w:sz w:val="20"/>
                <w:szCs w:val="20"/>
                <w:lang w:eastAsia="ru-RU"/>
              </w:rPr>
            </w:pPr>
            <w:r w:rsidRPr="001D1A6B">
              <w:rPr>
                <w:rFonts w:ascii="Calibri" w:eastAsia="Times New Roman" w:hAnsi="Calibri" w:cs="Calibri"/>
                <w:b/>
                <w:bCs/>
                <w:color w:val="000000"/>
                <w:sz w:val="20"/>
                <w:szCs w:val="20"/>
                <w:lang w:eastAsia="ru-RU"/>
              </w:rPr>
              <w:t>01.01.2020</w:t>
            </w:r>
          </w:p>
        </w:tc>
        <w:tc>
          <w:tcPr>
            <w:tcW w:w="2095" w:type="dxa"/>
            <w:tcBorders>
              <w:top w:val="single" w:sz="8" w:space="0" w:color="95B3D7"/>
              <w:left w:val="nil"/>
              <w:bottom w:val="single" w:sz="8" w:space="0" w:color="95B3D7"/>
              <w:right w:val="nil"/>
            </w:tcBorders>
            <w:shd w:val="clear" w:color="000000" w:fill="9CC2E5"/>
            <w:vAlign w:val="center"/>
            <w:hideMark/>
          </w:tcPr>
          <w:p w:rsidR="001D1A6B" w:rsidRPr="001D1A6B" w:rsidRDefault="001D1A6B" w:rsidP="001D1A6B">
            <w:pPr>
              <w:spacing w:after="0" w:line="240" w:lineRule="auto"/>
              <w:jc w:val="center"/>
              <w:rPr>
                <w:rFonts w:ascii="Calibri" w:eastAsia="Times New Roman" w:hAnsi="Calibri" w:cs="Calibri"/>
                <w:b/>
                <w:bCs/>
                <w:color w:val="000000"/>
                <w:sz w:val="20"/>
                <w:szCs w:val="20"/>
                <w:lang w:eastAsia="ru-RU"/>
              </w:rPr>
            </w:pPr>
            <w:r w:rsidRPr="001D1A6B">
              <w:rPr>
                <w:rFonts w:ascii="Calibri" w:eastAsia="Times New Roman" w:hAnsi="Calibri" w:cs="Calibri"/>
                <w:b/>
                <w:bCs/>
                <w:color w:val="000000"/>
                <w:sz w:val="20"/>
                <w:szCs w:val="20"/>
                <w:lang w:eastAsia="ru-RU"/>
              </w:rPr>
              <w:t>01.01.2021</w:t>
            </w:r>
          </w:p>
        </w:tc>
        <w:tc>
          <w:tcPr>
            <w:tcW w:w="2689" w:type="dxa"/>
            <w:tcBorders>
              <w:top w:val="single" w:sz="8" w:space="0" w:color="95B3D7"/>
              <w:left w:val="nil"/>
              <w:bottom w:val="single" w:sz="8" w:space="0" w:color="95B3D7"/>
              <w:right w:val="single" w:sz="8" w:space="0" w:color="95B3D7"/>
            </w:tcBorders>
            <w:shd w:val="clear" w:color="000000" w:fill="9CC2E5"/>
            <w:vAlign w:val="center"/>
            <w:hideMark/>
          </w:tcPr>
          <w:p w:rsidR="001D1A6B" w:rsidRPr="001D1A6B" w:rsidRDefault="001D1A6B" w:rsidP="001D1A6B">
            <w:pPr>
              <w:spacing w:after="0" w:line="240" w:lineRule="auto"/>
              <w:jc w:val="center"/>
              <w:rPr>
                <w:rFonts w:ascii="Calibri" w:eastAsia="Times New Roman" w:hAnsi="Calibri" w:cs="Calibri"/>
                <w:b/>
                <w:bCs/>
                <w:color w:val="000000"/>
                <w:sz w:val="20"/>
                <w:szCs w:val="20"/>
                <w:lang w:eastAsia="ru-RU"/>
              </w:rPr>
            </w:pPr>
            <w:r w:rsidRPr="001D1A6B">
              <w:rPr>
                <w:rFonts w:ascii="Calibri" w:eastAsia="Times New Roman" w:hAnsi="Calibri" w:cs="Calibri"/>
                <w:b/>
                <w:bCs/>
                <w:color w:val="000000"/>
                <w:sz w:val="20"/>
                <w:szCs w:val="20"/>
                <w:lang w:eastAsia="ru-RU"/>
              </w:rPr>
              <w:t>Изменение</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Количество БВУ</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27</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Активы</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26 814</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31 172</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1 353</w:t>
            </w:r>
          </w:p>
        </w:tc>
        <w:tc>
          <w:tcPr>
            <w:tcW w:w="2095"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1 708</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Обязательства</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23 166</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27 217</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17%</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1 108</w:t>
            </w:r>
          </w:p>
        </w:tc>
        <w:tc>
          <w:tcPr>
            <w:tcW w:w="2095"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1 425</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29%</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Собственный капитал</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3 649</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3 955</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245</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283</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Чистый доход (убыток)</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812</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905</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32</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1D1A6B" w:rsidRPr="001D1A6B" w:rsidTr="001D1A6B">
        <w:trPr>
          <w:trHeight w:val="426"/>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Ссудный портфель (основной долг)</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14 743</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15 792</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7%</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1 004</w:t>
            </w:r>
          </w:p>
        </w:tc>
        <w:tc>
          <w:tcPr>
            <w:tcW w:w="2095" w:type="dxa"/>
            <w:tcBorders>
              <w:top w:val="nil"/>
              <w:left w:val="nil"/>
              <w:bottom w:val="single" w:sz="8" w:space="0" w:color="95B3D7"/>
              <w:right w:val="nil"/>
            </w:tcBorders>
            <w:shd w:val="clear" w:color="000000" w:fill="DDEBF7"/>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1 368</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36%</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NPL, %</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8,14%</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6,82%</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 %</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0,14%</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0,16%</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1D1A6B" w:rsidRPr="001D1A6B" w:rsidTr="001D1A6B">
        <w:trPr>
          <w:trHeight w:val="426"/>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Провизии по ссудному портфелю (%)</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13,50%</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11,60%</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 %</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0,20%</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0,54%</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170%</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Вклады физ.лиц</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9 313</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10 943</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18%</w:t>
            </w:r>
          </w:p>
        </w:tc>
      </w:tr>
      <w:tr w:rsidR="001D1A6B" w:rsidRPr="001D1A6B" w:rsidTr="001D1A6B">
        <w:trPr>
          <w:trHeight w:val="426"/>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 (текущие счета, срочные вклады)</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826</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1056</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Вклады юр.лиц</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8 664</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10 616</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w:t>
            </w:r>
          </w:p>
        </w:tc>
      </w:tr>
      <w:tr w:rsidR="001D1A6B" w:rsidRPr="001D1A6B" w:rsidTr="001D1A6B">
        <w:trPr>
          <w:trHeight w:val="426"/>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 (текущие счета)</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75</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41</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-45%</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ROAA, %</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3,03%</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2,90%</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2,36%</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2,09%</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ROAE, %</w:t>
            </w:r>
          </w:p>
        </w:tc>
        <w:tc>
          <w:tcPr>
            <w:tcW w:w="1940"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22,25%</w:t>
            </w:r>
          </w:p>
        </w:tc>
        <w:tc>
          <w:tcPr>
            <w:tcW w:w="2095" w:type="dxa"/>
            <w:tcBorders>
              <w:top w:val="nil"/>
              <w:left w:val="nil"/>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22,88%</w:t>
            </w:r>
          </w:p>
        </w:tc>
        <w:tc>
          <w:tcPr>
            <w:tcW w:w="2689" w:type="dxa"/>
            <w:tcBorders>
              <w:top w:val="nil"/>
              <w:left w:val="single" w:sz="8" w:space="0" w:color="95B3D7"/>
              <w:bottom w:val="single" w:sz="8" w:space="0" w:color="95B3D7"/>
              <w:right w:val="nil"/>
            </w:tcBorders>
            <w:shd w:val="clear" w:color="auto" w:fill="auto"/>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w:t>
            </w:r>
          </w:p>
        </w:tc>
      </w:tr>
      <w:tr w:rsidR="001D1A6B" w:rsidRPr="001D1A6B" w:rsidTr="001D1A6B">
        <w:trPr>
          <w:trHeight w:val="255"/>
        </w:trPr>
        <w:tc>
          <w:tcPr>
            <w:tcW w:w="3087" w:type="dxa"/>
            <w:tcBorders>
              <w:top w:val="nil"/>
              <w:left w:val="single" w:sz="8" w:space="0" w:color="95B3D7"/>
              <w:bottom w:val="single" w:sz="8" w:space="0" w:color="95B3D7"/>
              <w:right w:val="nil"/>
            </w:tcBorders>
            <w:shd w:val="clear" w:color="000000" w:fill="DCE6F1"/>
            <w:vAlign w:val="center"/>
            <w:hideMark/>
          </w:tcPr>
          <w:p w:rsidR="001D1A6B" w:rsidRPr="001D1A6B" w:rsidRDefault="001D1A6B" w:rsidP="001D1A6B">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АО "Отбасы банк", %</w:t>
            </w:r>
          </w:p>
        </w:tc>
        <w:tc>
          <w:tcPr>
            <w:tcW w:w="1940"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12,51%</w:t>
            </w:r>
          </w:p>
        </w:tc>
        <w:tc>
          <w:tcPr>
            <w:tcW w:w="2095"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12,12%</w:t>
            </w:r>
          </w:p>
        </w:tc>
        <w:tc>
          <w:tcPr>
            <w:tcW w:w="2689" w:type="dxa"/>
            <w:tcBorders>
              <w:top w:val="nil"/>
              <w:left w:val="nil"/>
              <w:bottom w:val="single" w:sz="8" w:space="0" w:color="95B3D7"/>
              <w:right w:val="nil"/>
            </w:tcBorders>
            <w:shd w:val="clear" w:color="000000" w:fill="DCE6F1"/>
            <w:vAlign w:val="center"/>
            <w:hideMark/>
          </w:tcPr>
          <w:p w:rsidR="001D1A6B" w:rsidRPr="001D1A6B" w:rsidRDefault="001D1A6B" w:rsidP="001D1A6B">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w:t>
            </w:r>
          </w:p>
        </w:tc>
      </w:tr>
    </w:tbl>
    <w:p w:rsidR="00C50199" w:rsidRPr="00AE7DB5" w:rsidRDefault="003E68D8" w:rsidP="003E68D8">
      <w:pPr>
        <w:tabs>
          <w:tab w:val="left" w:pos="0"/>
        </w:tabs>
        <w:spacing w:after="0" w:line="240" w:lineRule="auto"/>
        <w:rPr>
          <w:rFonts w:cs="Times New Roman"/>
          <w:b/>
          <w:bCs/>
          <w:color w:val="000000" w:themeColor="text1"/>
          <w:sz w:val="20"/>
          <w:szCs w:val="20"/>
        </w:rPr>
      </w:pPr>
      <w:r w:rsidRPr="00AE7DB5">
        <w:rPr>
          <w:rFonts w:cs="Times New Roman"/>
          <w:i/>
          <w:sz w:val="20"/>
          <w:szCs w:val="20"/>
        </w:rPr>
        <w:tab/>
        <w:t>Источник: Национальный Банк РК</w:t>
      </w:r>
    </w:p>
    <w:p w:rsidR="003E68D8" w:rsidRPr="00AE7DB5" w:rsidRDefault="003E68D8" w:rsidP="003C0F09">
      <w:pPr>
        <w:tabs>
          <w:tab w:val="left" w:pos="0"/>
        </w:tabs>
        <w:spacing w:after="0" w:line="240" w:lineRule="auto"/>
        <w:ind w:firstLine="709"/>
        <w:jc w:val="both"/>
        <w:rPr>
          <w:rFonts w:cs="Times New Roman"/>
          <w:sz w:val="20"/>
          <w:szCs w:val="20"/>
        </w:rPr>
      </w:pPr>
    </w:p>
    <w:p w:rsidR="00A815FC" w:rsidRPr="00AE7DB5" w:rsidRDefault="00166A5F" w:rsidP="003C0F09">
      <w:pPr>
        <w:tabs>
          <w:tab w:val="left" w:pos="0"/>
        </w:tabs>
        <w:spacing w:after="0" w:line="240" w:lineRule="auto"/>
        <w:ind w:firstLine="709"/>
        <w:jc w:val="both"/>
        <w:rPr>
          <w:rFonts w:cs="Times New Roman"/>
          <w:sz w:val="20"/>
          <w:szCs w:val="20"/>
        </w:rPr>
      </w:pPr>
      <w:r w:rsidRPr="00A371FF">
        <w:rPr>
          <w:rFonts w:cs="Times New Roman"/>
          <w:sz w:val="20"/>
          <w:szCs w:val="20"/>
        </w:rPr>
        <w:t xml:space="preserve">Количество банков в Казахстане уменьшилось с начала </w:t>
      </w:r>
      <w:r w:rsidR="00996F0C" w:rsidRPr="00A371FF">
        <w:rPr>
          <w:rFonts w:cs="Times New Roman"/>
          <w:sz w:val="20"/>
          <w:szCs w:val="20"/>
        </w:rPr>
        <w:t>20</w:t>
      </w:r>
      <w:r w:rsidR="003579A2" w:rsidRPr="00A371FF">
        <w:rPr>
          <w:rFonts w:cs="Times New Roman"/>
          <w:sz w:val="20"/>
          <w:szCs w:val="20"/>
        </w:rPr>
        <w:t>20</w:t>
      </w:r>
      <w:r w:rsidR="001D1A6B">
        <w:rPr>
          <w:rFonts w:cs="Times New Roman"/>
          <w:sz w:val="20"/>
          <w:szCs w:val="20"/>
        </w:rPr>
        <w:t xml:space="preserve"> </w:t>
      </w:r>
      <w:r w:rsidRPr="00A371FF">
        <w:rPr>
          <w:rFonts w:cs="Times New Roman"/>
          <w:sz w:val="20"/>
          <w:szCs w:val="20"/>
        </w:rPr>
        <w:t>года с 2</w:t>
      </w:r>
      <w:r w:rsidR="003579A2" w:rsidRPr="00A371FF">
        <w:rPr>
          <w:rFonts w:cs="Times New Roman"/>
          <w:sz w:val="20"/>
          <w:szCs w:val="20"/>
        </w:rPr>
        <w:t>7</w:t>
      </w:r>
      <w:r w:rsidRPr="00A371FF">
        <w:rPr>
          <w:rFonts w:cs="Times New Roman"/>
          <w:sz w:val="20"/>
          <w:szCs w:val="20"/>
        </w:rPr>
        <w:t xml:space="preserve"> до 2</w:t>
      </w:r>
      <w:r w:rsidR="00A371FF" w:rsidRPr="00A371FF">
        <w:rPr>
          <w:rFonts w:cs="Times New Roman"/>
          <w:sz w:val="20"/>
          <w:szCs w:val="20"/>
        </w:rPr>
        <w:t>6</w:t>
      </w:r>
      <w:r w:rsidR="003579A2" w:rsidRPr="00A371FF">
        <w:rPr>
          <w:rFonts w:cs="Times New Roman"/>
          <w:sz w:val="20"/>
          <w:szCs w:val="20"/>
        </w:rPr>
        <w:t xml:space="preserve"> к концу 2020</w:t>
      </w:r>
      <w:r w:rsidR="00996F0C" w:rsidRPr="00A371FF">
        <w:rPr>
          <w:rFonts w:cs="Times New Roman"/>
          <w:sz w:val="20"/>
          <w:szCs w:val="20"/>
        </w:rPr>
        <w:t xml:space="preserve"> года</w:t>
      </w:r>
      <w:r w:rsidRPr="00A371FF">
        <w:rPr>
          <w:rFonts w:cs="Times New Roman"/>
          <w:sz w:val="20"/>
          <w:szCs w:val="20"/>
        </w:rPr>
        <w:t>.</w:t>
      </w:r>
      <w:r w:rsidRPr="00AE7DB5">
        <w:rPr>
          <w:rFonts w:cs="Times New Roman"/>
          <w:sz w:val="20"/>
          <w:szCs w:val="20"/>
        </w:rPr>
        <w:t xml:space="preserve"> </w:t>
      </w:r>
    </w:p>
    <w:p w:rsidR="00A371FF" w:rsidRDefault="00A371FF" w:rsidP="003C0F09">
      <w:pPr>
        <w:tabs>
          <w:tab w:val="left" w:pos="0"/>
        </w:tabs>
        <w:spacing w:after="0" w:line="240" w:lineRule="auto"/>
        <w:ind w:firstLine="709"/>
        <w:jc w:val="both"/>
        <w:rPr>
          <w:rFonts w:cs="Times New Roman"/>
          <w:sz w:val="20"/>
          <w:szCs w:val="20"/>
        </w:rPr>
      </w:pPr>
    </w:p>
    <w:p w:rsidR="00A371FF" w:rsidRDefault="00A371FF" w:rsidP="001359F0">
      <w:pPr>
        <w:tabs>
          <w:tab w:val="left" w:pos="0"/>
        </w:tabs>
        <w:spacing w:after="0" w:line="240" w:lineRule="auto"/>
        <w:ind w:firstLine="709"/>
        <w:jc w:val="both"/>
        <w:rPr>
          <w:rFonts w:cs="Times New Roman"/>
          <w:sz w:val="20"/>
          <w:szCs w:val="20"/>
        </w:rPr>
      </w:pPr>
      <w:r w:rsidRPr="00A371FF">
        <w:rPr>
          <w:rFonts w:cs="Times New Roman"/>
          <w:sz w:val="20"/>
          <w:szCs w:val="20"/>
        </w:rPr>
        <w:t>По состоянию на 1 декабря 2020 года в Республике Казахстан функционируют 26 банков, из них 14 банков с иностранным участием, в том числе 12 дочерних банков второго уровня, 1 банк со 100%-ным государственным участием.</w:t>
      </w:r>
    </w:p>
    <w:p w:rsidR="00A371FF" w:rsidRPr="00A371FF" w:rsidRDefault="00A371FF" w:rsidP="00A371FF">
      <w:pPr>
        <w:tabs>
          <w:tab w:val="left" w:pos="0"/>
        </w:tabs>
        <w:spacing w:after="0" w:line="240" w:lineRule="auto"/>
        <w:ind w:firstLine="709"/>
        <w:jc w:val="both"/>
        <w:rPr>
          <w:rFonts w:cs="Times New Roman"/>
          <w:sz w:val="20"/>
          <w:szCs w:val="20"/>
        </w:rPr>
      </w:pPr>
      <w:r w:rsidRPr="00A371FF">
        <w:rPr>
          <w:rFonts w:cs="Times New Roman"/>
          <w:sz w:val="20"/>
          <w:szCs w:val="20"/>
        </w:rPr>
        <w:t>Постановлением Правления Агентства Республики Казахстан по регулированию и развитию финансового рынка (далее – Агентство) No80 от 17 сентября 2020 года  за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 и нарушение пруденциальных нормативов и других обязательных к соблюдению норм и лимитов было принято решение о лишении АО «Tengri Bank» (далее – Банк) лицензии на проведение банковских и иных операций и осуществление деятельности на рынке ценных бумаг No213, выданной 24 октября 2007 года.</w:t>
      </w:r>
    </w:p>
    <w:p w:rsidR="00A371FF" w:rsidRPr="00A371FF" w:rsidRDefault="00A371FF" w:rsidP="00A371FF">
      <w:pPr>
        <w:tabs>
          <w:tab w:val="left" w:pos="0"/>
        </w:tabs>
        <w:spacing w:after="0" w:line="240" w:lineRule="auto"/>
        <w:ind w:firstLine="709"/>
        <w:jc w:val="both"/>
        <w:rPr>
          <w:rFonts w:cs="Times New Roman"/>
          <w:sz w:val="20"/>
          <w:szCs w:val="20"/>
        </w:rPr>
      </w:pPr>
      <w:r w:rsidRPr="00A371FF">
        <w:rPr>
          <w:rFonts w:cs="Times New Roman"/>
          <w:sz w:val="20"/>
          <w:szCs w:val="20"/>
        </w:rPr>
        <w:t>Приказом Председателя Агентства No360 от 17 сентября 2020 года назначен состав временной администрации Банка с переходом к ней полномочий по обеспечению сохранности имущества и осуществления мероприятий по обеспечению управления Банком.</w:t>
      </w:r>
    </w:p>
    <w:p w:rsidR="00A371FF" w:rsidRPr="00A371FF" w:rsidRDefault="00A371FF" w:rsidP="001359F0">
      <w:pPr>
        <w:tabs>
          <w:tab w:val="left" w:pos="0"/>
        </w:tabs>
        <w:spacing w:after="0" w:line="240" w:lineRule="auto"/>
        <w:ind w:firstLine="709"/>
        <w:jc w:val="both"/>
        <w:rPr>
          <w:rFonts w:cs="Times New Roman"/>
          <w:sz w:val="20"/>
          <w:szCs w:val="20"/>
        </w:rPr>
      </w:pPr>
    </w:p>
    <w:p w:rsidR="001359F0" w:rsidRPr="00AE7DB5" w:rsidRDefault="00C50199" w:rsidP="001359F0">
      <w:pPr>
        <w:tabs>
          <w:tab w:val="left" w:pos="0"/>
        </w:tabs>
        <w:spacing w:after="0" w:line="240" w:lineRule="auto"/>
        <w:ind w:firstLine="709"/>
        <w:jc w:val="both"/>
        <w:rPr>
          <w:rFonts w:cs="Times New Roman"/>
          <w:sz w:val="20"/>
          <w:szCs w:val="20"/>
        </w:rPr>
      </w:pPr>
      <w:r w:rsidRPr="00AE7DB5">
        <w:rPr>
          <w:rFonts w:cs="Times New Roman"/>
          <w:bCs/>
          <w:color w:val="000000" w:themeColor="text1"/>
          <w:sz w:val="20"/>
          <w:szCs w:val="20"/>
        </w:rPr>
        <w:t>Активы</w:t>
      </w:r>
      <w:r w:rsidRPr="00AE7DB5">
        <w:rPr>
          <w:rFonts w:cs="Times New Roman"/>
          <w:b/>
          <w:bCs/>
          <w:color w:val="000000" w:themeColor="text1"/>
          <w:sz w:val="20"/>
          <w:szCs w:val="20"/>
        </w:rPr>
        <w:t xml:space="preserve"> </w:t>
      </w:r>
      <w:r w:rsidR="001359F0" w:rsidRPr="00AE7DB5">
        <w:rPr>
          <w:rFonts w:cs="Times New Roman"/>
          <w:sz w:val="20"/>
          <w:szCs w:val="20"/>
        </w:rPr>
        <w:t>банковского сектора</w:t>
      </w:r>
      <w:r w:rsidRPr="00AE7DB5">
        <w:rPr>
          <w:rFonts w:cs="Times New Roman"/>
          <w:sz w:val="20"/>
          <w:szCs w:val="20"/>
        </w:rPr>
        <w:t xml:space="preserve"> по состоянию на 01.01.20</w:t>
      </w:r>
      <w:r w:rsidR="002145A2" w:rsidRPr="00AE7DB5">
        <w:rPr>
          <w:rFonts w:cs="Times New Roman"/>
          <w:sz w:val="20"/>
          <w:szCs w:val="20"/>
        </w:rPr>
        <w:t>2</w:t>
      </w:r>
      <w:r w:rsidR="00A371FF">
        <w:rPr>
          <w:rFonts w:cs="Times New Roman"/>
          <w:sz w:val="20"/>
          <w:szCs w:val="20"/>
        </w:rPr>
        <w:t>1</w:t>
      </w:r>
      <w:r w:rsidRPr="00AE7DB5">
        <w:rPr>
          <w:rFonts w:cs="Times New Roman"/>
          <w:sz w:val="20"/>
          <w:szCs w:val="20"/>
        </w:rPr>
        <w:t xml:space="preserve"> года составили </w:t>
      </w:r>
      <w:r w:rsidR="00A371FF">
        <w:rPr>
          <w:rFonts w:cs="Times New Roman"/>
          <w:sz w:val="20"/>
          <w:szCs w:val="20"/>
        </w:rPr>
        <w:t>31 172</w:t>
      </w:r>
      <w:r w:rsidR="002145A2" w:rsidRPr="00AE7DB5">
        <w:rPr>
          <w:rFonts w:cs="Times New Roman"/>
          <w:sz w:val="20"/>
          <w:szCs w:val="20"/>
        </w:rPr>
        <w:t xml:space="preserve"> </w:t>
      </w:r>
      <w:r w:rsidR="00971A25" w:rsidRPr="00AE7DB5">
        <w:rPr>
          <w:rFonts w:cs="Times New Roman"/>
          <w:sz w:val="20"/>
          <w:szCs w:val="20"/>
        </w:rPr>
        <w:t>млрд. тенге</w:t>
      </w:r>
      <w:r w:rsidRPr="00AE7DB5">
        <w:rPr>
          <w:rFonts w:cs="Times New Roman"/>
          <w:sz w:val="20"/>
          <w:szCs w:val="20"/>
        </w:rPr>
        <w:t xml:space="preserve"> (на начало 20</w:t>
      </w:r>
      <w:r w:rsidR="00A371FF">
        <w:rPr>
          <w:rFonts w:cs="Times New Roman"/>
          <w:sz w:val="20"/>
          <w:szCs w:val="20"/>
        </w:rPr>
        <w:t>20</w:t>
      </w:r>
      <w:r w:rsidRPr="00AE7DB5">
        <w:rPr>
          <w:rFonts w:cs="Times New Roman"/>
          <w:sz w:val="20"/>
          <w:szCs w:val="20"/>
        </w:rPr>
        <w:t xml:space="preserve"> года</w:t>
      </w:r>
      <w:r w:rsidR="00971A25" w:rsidRPr="00AE7DB5">
        <w:rPr>
          <w:rFonts w:cs="Times New Roman"/>
          <w:sz w:val="20"/>
          <w:szCs w:val="20"/>
        </w:rPr>
        <w:t xml:space="preserve"> </w:t>
      </w:r>
      <w:r w:rsidR="00A371FF">
        <w:rPr>
          <w:rFonts w:cs="Times New Roman"/>
          <w:sz w:val="20"/>
          <w:szCs w:val="20"/>
        </w:rPr>
        <w:t>–</w:t>
      </w:r>
      <w:r w:rsidR="00A7369E" w:rsidRPr="00AE7DB5">
        <w:rPr>
          <w:sz w:val="20"/>
          <w:szCs w:val="20"/>
        </w:rPr>
        <w:t xml:space="preserve"> </w:t>
      </w:r>
      <w:r w:rsidR="00A371FF">
        <w:rPr>
          <w:rFonts w:cs="Times New Roman"/>
          <w:sz w:val="20"/>
          <w:szCs w:val="20"/>
        </w:rPr>
        <w:t>26 814</w:t>
      </w:r>
      <w:r w:rsidR="00A815FC" w:rsidRPr="00AE7DB5">
        <w:rPr>
          <w:rFonts w:cs="Times New Roman"/>
          <w:sz w:val="20"/>
          <w:szCs w:val="20"/>
        </w:rPr>
        <w:t xml:space="preserve"> </w:t>
      </w:r>
      <w:r w:rsidRPr="00AE7DB5">
        <w:rPr>
          <w:rFonts w:cs="Times New Roman"/>
          <w:sz w:val="20"/>
          <w:szCs w:val="20"/>
        </w:rPr>
        <w:t>млрд</w:t>
      </w:r>
      <w:r w:rsidR="00A431B3" w:rsidRPr="00AE7DB5">
        <w:rPr>
          <w:rFonts w:cs="Times New Roman"/>
          <w:sz w:val="20"/>
          <w:szCs w:val="20"/>
        </w:rPr>
        <w:t xml:space="preserve">. </w:t>
      </w:r>
      <w:r w:rsidRPr="00AE7DB5">
        <w:rPr>
          <w:rFonts w:cs="Times New Roman"/>
          <w:sz w:val="20"/>
          <w:szCs w:val="20"/>
        </w:rPr>
        <w:t xml:space="preserve">тенге), </w:t>
      </w:r>
      <w:r w:rsidR="00BF2E2F" w:rsidRPr="00AE7DB5">
        <w:rPr>
          <w:rFonts w:cs="Times New Roman"/>
          <w:sz w:val="20"/>
          <w:szCs w:val="20"/>
        </w:rPr>
        <w:t>увеличение</w:t>
      </w:r>
      <w:r w:rsidRPr="00AE7DB5">
        <w:rPr>
          <w:rFonts w:cs="Times New Roman"/>
          <w:sz w:val="20"/>
          <w:szCs w:val="20"/>
        </w:rPr>
        <w:t xml:space="preserve"> с начала года </w:t>
      </w:r>
      <w:r w:rsidR="00BB79E8" w:rsidRPr="00AE7DB5">
        <w:rPr>
          <w:rFonts w:cs="Times New Roman"/>
          <w:sz w:val="20"/>
          <w:szCs w:val="20"/>
        </w:rPr>
        <w:t xml:space="preserve">составило </w:t>
      </w:r>
      <w:r w:rsidRPr="00AE7DB5">
        <w:rPr>
          <w:rFonts w:cs="Times New Roman"/>
          <w:sz w:val="20"/>
          <w:szCs w:val="20"/>
        </w:rPr>
        <w:t xml:space="preserve">– </w:t>
      </w:r>
      <w:r w:rsidR="00A371FF">
        <w:rPr>
          <w:rFonts w:cs="Times New Roman"/>
          <w:sz w:val="20"/>
          <w:szCs w:val="20"/>
        </w:rPr>
        <w:t>16</w:t>
      </w:r>
      <w:r w:rsidR="00BF2E2F" w:rsidRPr="00AE7DB5">
        <w:rPr>
          <w:rFonts w:cs="Times New Roman"/>
          <w:sz w:val="20"/>
          <w:szCs w:val="20"/>
        </w:rPr>
        <w:t>%.</w:t>
      </w:r>
      <w:r w:rsidR="003C0F09" w:rsidRPr="00AE7DB5">
        <w:rPr>
          <w:rFonts w:cs="Times New Roman"/>
          <w:sz w:val="20"/>
          <w:szCs w:val="20"/>
        </w:rPr>
        <w:t xml:space="preserve">  </w:t>
      </w:r>
    </w:p>
    <w:p w:rsidR="001359F0" w:rsidRPr="001D1A6B" w:rsidRDefault="001359F0" w:rsidP="001D1A6B">
      <w:pPr>
        <w:tabs>
          <w:tab w:val="left" w:pos="0"/>
        </w:tabs>
        <w:spacing w:after="0" w:line="240" w:lineRule="auto"/>
        <w:ind w:firstLine="709"/>
        <w:jc w:val="both"/>
        <w:rPr>
          <w:rFonts w:cs="Times New Roman"/>
          <w:sz w:val="20"/>
          <w:szCs w:val="20"/>
        </w:rPr>
      </w:pPr>
      <w:r w:rsidRPr="00AE7DB5">
        <w:rPr>
          <w:rFonts w:cs="Times New Roman"/>
          <w:sz w:val="20"/>
          <w:szCs w:val="20"/>
        </w:rPr>
        <w:t xml:space="preserve">Наибольший размер активов наблюдается у </w:t>
      </w:r>
      <w:r w:rsidR="00971A25" w:rsidRPr="00AE7DB5">
        <w:rPr>
          <w:rFonts w:cs="Times New Roman"/>
          <w:sz w:val="20"/>
          <w:szCs w:val="20"/>
        </w:rPr>
        <w:t xml:space="preserve">АО </w:t>
      </w:r>
      <w:r w:rsidR="006910ED" w:rsidRPr="00AE7DB5">
        <w:rPr>
          <w:rFonts w:cs="Times New Roman"/>
          <w:sz w:val="20"/>
          <w:szCs w:val="20"/>
        </w:rPr>
        <w:t>«</w:t>
      </w:r>
      <w:r w:rsidRPr="00AE7DB5">
        <w:rPr>
          <w:rFonts w:cs="Times New Roman"/>
          <w:sz w:val="20"/>
          <w:szCs w:val="20"/>
        </w:rPr>
        <w:t>Народн</w:t>
      </w:r>
      <w:r w:rsidR="00971A25" w:rsidRPr="00AE7DB5">
        <w:rPr>
          <w:rFonts w:cs="Times New Roman"/>
          <w:sz w:val="20"/>
          <w:szCs w:val="20"/>
        </w:rPr>
        <w:t xml:space="preserve">ый </w:t>
      </w:r>
      <w:r w:rsidRPr="00AE7DB5">
        <w:rPr>
          <w:rFonts w:cs="Times New Roman"/>
          <w:sz w:val="20"/>
          <w:szCs w:val="20"/>
        </w:rPr>
        <w:t>Банк</w:t>
      </w:r>
      <w:r w:rsidR="00971A25" w:rsidRPr="00AE7DB5">
        <w:rPr>
          <w:rFonts w:cs="Times New Roman"/>
          <w:sz w:val="20"/>
          <w:szCs w:val="20"/>
        </w:rPr>
        <w:t xml:space="preserve"> Казахстана</w:t>
      </w:r>
      <w:r w:rsidR="006910ED" w:rsidRPr="00AE7DB5">
        <w:rPr>
          <w:rFonts w:cs="Times New Roman"/>
          <w:sz w:val="20"/>
          <w:szCs w:val="20"/>
        </w:rPr>
        <w:t>»</w:t>
      </w:r>
      <w:r w:rsidRPr="00AE7DB5">
        <w:rPr>
          <w:rFonts w:cs="Times New Roman"/>
          <w:sz w:val="20"/>
          <w:szCs w:val="20"/>
        </w:rPr>
        <w:t xml:space="preserve"> (</w:t>
      </w:r>
      <w:r w:rsidR="001D1A6B">
        <w:rPr>
          <w:rFonts w:cs="Times New Roman"/>
          <w:sz w:val="20"/>
          <w:szCs w:val="20"/>
        </w:rPr>
        <w:t>9 972</w:t>
      </w:r>
      <w:r w:rsidR="00971A25" w:rsidRPr="00AE7DB5">
        <w:rPr>
          <w:rFonts w:cs="Times New Roman"/>
          <w:sz w:val="20"/>
          <w:szCs w:val="20"/>
        </w:rPr>
        <w:t xml:space="preserve"> </w:t>
      </w:r>
      <w:r w:rsidR="006910ED" w:rsidRPr="00AE7DB5">
        <w:rPr>
          <w:rFonts w:cs="Times New Roman"/>
          <w:sz w:val="20"/>
          <w:szCs w:val="20"/>
        </w:rPr>
        <w:t>млрд. тенге</w:t>
      </w:r>
      <w:r w:rsidRPr="00AE7DB5">
        <w:rPr>
          <w:rFonts w:cs="Times New Roman"/>
          <w:sz w:val="20"/>
          <w:szCs w:val="20"/>
        </w:rPr>
        <w:t>).</w:t>
      </w:r>
      <w:r w:rsidRPr="00AE7DB5">
        <w:rPr>
          <w:rFonts w:cs="Times New Roman"/>
          <w:bCs/>
          <w:sz w:val="20"/>
          <w:szCs w:val="20"/>
        </w:rPr>
        <w:t xml:space="preserve"> </w:t>
      </w:r>
      <w:r w:rsidR="001D1A6B">
        <w:rPr>
          <w:rFonts w:cs="Times New Roman"/>
          <w:bCs/>
          <w:sz w:val="20"/>
          <w:szCs w:val="20"/>
        </w:rPr>
        <w:t>АО «Отбасы банк»</w:t>
      </w:r>
      <w:r w:rsidRPr="00AE7DB5">
        <w:rPr>
          <w:rFonts w:cs="Times New Roman"/>
          <w:bCs/>
          <w:sz w:val="20"/>
          <w:szCs w:val="20"/>
        </w:rPr>
        <w:t xml:space="preserve"> </w:t>
      </w:r>
      <w:r w:rsidR="001D1A6B">
        <w:rPr>
          <w:rFonts w:cs="Times New Roman"/>
          <w:bCs/>
          <w:sz w:val="20"/>
          <w:szCs w:val="20"/>
        </w:rPr>
        <w:t xml:space="preserve">поднялся на одну позицию и </w:t>
      </w:r>
      <w:r w:rsidRPr="00AE7DB5">
        <w:rPr>
          <w:rFonts w:cs="Times New Roman"/>
          <w:bCs/>
          <w:sz w:val="20"/>
          <w:szCs w:val="20"/>
        </w:rPr>
        <w:t xml:space="preserve">занимает </w:t>
      </w:r>
      <w:r w:rsidR="001D1A6B">
        <w:rPr>
          <w:rFonts w:cs="Times New Roman"/>
          <w:bCs/>
          <w:sz w:val="20"/>
          <w:szCs w:val="20"/>
        </w:rPr>
        <w:t xml:space="preserve">6 </w:t>
      </w:r>
      <w:r w:rsidRPr="00AE7DB5">
        <w:rPr>
          <w:rFonts w:cs="Times New Roman"/>
          <w:bCs/>
          <w:sz w:val="20"/>
          <w:szCs w:val="20"/>
        </w:rPr>
        <w:t>место по активам среди БВУ (</w:t>
      </w:r>
      <w:r w:rsidR="00971A25" w:rsidRPr="00AE7DB5">
        <w:rPr>
          <w:rFonts w:cs="Times New Roman"/>
          <w:bCs/>
          <w:sz w:val="20"/>
          <w:szCs w:val="20"/>
        </w:rPr>
        <w:t xml:space="preserve">1 </w:t>
      </w:r>
      <w:r w:rsidR="001D1A6B">
        <w:rPr>
          <w:rFonts w:cs="Times New Roman"/>
          <w:bCs/>
          <w:sz w:val="20"/>
          <w:szCs w:val="20"/>
        </w:rPr>
        <w:t>708</w:t>
      </w:r>
      <w:r w:rsidRPr="00AE7DB5">
        <w:rPr>
          <w:rFonts w:cs="Times New Roman"/>
          <w:bCs/>
          <w:sz w:val="20"/>
          <w:szCs w:val="20"/>
        </w:rPr>
        <w:t xml:space="preserve"> млрд</w:t>
      </w:r>
      <w:r w:rsidR="006910ED" w:rsidRPr="00AE7DB5">
        <w:rPr>
          <w:rFonts w:cs="Times New Roman"/>
          <w:bCs/>
          <w:sz w:val="20"/>
          <w:szCs w:val="20"/>
        </w:rPr>
        <w:t>.</w:t>
      </w:r>
      <w:r w:rsidRPr="00AE7DB5">
        <w:rPr>
          <w:rFonts w:cs="Times New Roman"/>
          <w:bCs/>
          <w:sz w:val="20"/>
          <w:szCs w:val="20"/>
        </w:rPr>
        <w:t xml:space="preserve"> тенге).</w:t>
      </w:r>
    </w:p>
    <w:p w:rsidR="00D7478C" w:rsidRPr="00AE7DB5" w:rsidRDefault="00D7478C" w:rsidP="003C0F09">
      <w:pPr>
        <w:tabs>
          <w:tab w:val="left" w:pos="0"/>
        </w:tabs>
        <w:spacing w:after="0" w:line="240" w:lineRule="auto"/>
        <w:ind w:firstLine="709"/>
        <w:jc w:val="both"/>
        <w:rPr>
          <w:rFonts w:cs="Times New Roman"/>
          <w:sz w:val="20"/>
          <w:szCs w:val="20"/>
        </w:rPr>
      </w:pPr>
      <w:r w:rsidRPr="00AE7DB5">
        <w:rPr>
          <w:rFonts w:cs="Times New Roman"/>
          <w:bCs/>
          <w:noProof/>
          <w:color w:val="FF0000"/>
          <w:sz w:val="20"/>
          <w:szCs w:val="20"/>
          <w:lang w:eastAsia="ru-RU"/>
        </w:rPr>
        <w:lastRenderedPageBreak/>
        <w:drawing>
          <wp:inline distT="0" distB="0" distL="0" distR="0" wp14:anchorId="0564B201" wp14:editId="030D8A83">
            <wp:extent cx="5962650" cy="28003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0DEA" w:rsidRPr="00AE7DB5" w:rsidRDefault="00E50DEA" w:rsidP="008D00F1">
      <w:pPr>
        <w:tabs>
          <w:tab w:val="left" w:pos="284"/>
        </w:tabs>
        <w:spacing w:after="0" w:line="240" w:lineRule="auto"/>
        <w:ind w:firstLine="709"/>
        <w:jc w:val="both"/>
        <w:rPr>
          <w:rFonts w:cs="Times New Roman"/>
          <w:i/>
          <w:sz w:val="20"/>
          <w:szCs w:val="20"/>
        </w:rPr>
      </w:pPr>
    </w:p>
    <w:p w:rsidR="00D7478C" w:rsidRPr="00AE7DB5" w:rsidRDefault="003E68D8" w:rsidP="008D00F1">
      <w:pPr>
        <w:tabs>
          <w:tab w:val="left" w:pos="284"/>
        </w:tabs>
        <w:spacing w:after="0" w:line="240" w:lineRule="auto"/>
        <w:ind w:firstLine="709"/>
        <w:jc w:val="both"/>
        <w:rPr>
          <w:rFonts w:cs="Times New Roman"/>
          <w:b/>
          <w:sz w:val="20"/>
          <w:szCs w:val="20"/>
        </w:rPr>
      </w:pPr>
      <w:r w:rsidRPr="00AE7DB5">
        <w:rPr>
          <w:rFonts w:cs="Times New Roman"/>
          <w:i/>
          <w:sz w:val="20"/>
          <w:szCs w:val="20"/>
        </w:rPr>
        <w:t>Источник: Национальный Банк РК</w:t>
      </w:r>
    </w:p>
    <w:p w:rsidR="00AE7DB5" w:rsidRDefault="00AE7DB5" w:rsidP="008D00F1">
      <w:pPr>
        <w:tabs>
          <w:tab w:val="left" w:pos="284"/>
        </w:tabs>
        <w:spacing w:after="0" w:line="240" w:lineRule="auto"/>
        <w:ind w:firstLine="709"/>
        <w:jc w:val="both"/>
        <w:rPr>
          <w:rFonts w:cs="Times New Roman"/>
          <w:sz w:val="20"/>
          <w:szCs w:val="20"/>
        </w:rPr>
      </w:pPr>
    </w:p>
    <w:p w:rsidR="001359F0" w:rsidRPr="00AE7DB5" w:rsidRDefault="001359F0" w:rsidP="008D00F1">
      <w:pPr>
        <w:tabs>
          <w:tab w:val="left" w:pos="284"/>
        </w:tabs>
        <w:spacing w:after="0" w:line="240" w:lineRule="auto"/>
        <w:ind w:firstLine="709"/>
        <w:jc w:val="both"/>
        <w:rPr>
          <w:rFonts w:cs="Times New Roman"/>
          <w:sz w:val="20"/>
          <w:szCs w:val="20"/>
        </w:rPr>
      </w:pPr>
      <w:r w:rsidRPr="00AE7DB5">
        <w:rPr>
          <w:rFonts w:cs="Times New Roman"/>
          <w:sz w:val="20"/>
          <w:szCs w:val="20"/>
        </w:rPr>
        <w:t xml:space="preserve">В структуре </w:t>
      </w:r>
      <w:r w:rsidR="006B2662" w:rsidRPr="00AE7DB5">
        <w:rPr>
          <w:rFonts w:cs="Times New Roman"/>
          <w:sz w:val="20"/>
          <w:szCs w:val="20"/>
        </w:rPr>
        <w:t xml:space="preserve">совокупных </w:t>
      </w:r>
      <w:r w:rsidRPr="00AE7DB5">
        <w:rPr>
          <w:rFonts w:cs="Times New Roman"/>
          <w:sz w:val="20"/>
          <w:szCs w:val="20"/>
        </w:rPr>
        <w:t>активов</w:t>
      </w:r>
      <w:r w:rsidR="006B2662" w:rsidRPr="00AE7DB5">
        <w:rPr>
          <w:rFonts w:cs="Times New Roman"/>
          <w:sz w:val="20"/>
          <w:szCs w:val="20"/>
        </w:rPr>
        <w:t xml:space="preserve"> банковского сектора</w:t>
      </w:r>
      <w:r w:rsidRPr="00AE7DB5">
        <w:rPr>
          <w:rFonts w:cs="Times New Roman"/>
          <w:sz w:val="20"/>
          <w:szCs w:val="20"/>
        </w:rPr>
        <w:t xml:space="preserve"> наибольшую долю (</w:t>
      </w:r>
      <w:r w:rsidR="001D1A6B">
        <w:rPr>
          <w:rFonts w:cs="Times New Roman"/>
          <w:sz w:val="20"/>
          <w:szCs w:val="20"/>
        </w:rPr>
        <w:t>50,7</w:t>
      </w:r>
      <w:r w:rsidRPr="00AE7DB5">
        <w:rPr>
          <w:rFonts w:cs="Times New Roman"/>
          <w:sz w:val="20"/>
          <w:szCs w:val="20"/>
        </w:rPr>
        <w:t>% от совокупных активов) занимает ссудный портфель</w:t>
      </w:r>
      <w:r w:rsidR="006B2662" w:rsidRPr="00AE7DB5">
        <w:rPr>
          <w:rFonts w:cs="Times New Roman"/>
          <w:sz w:val="20"/>
          <w:szCs w:val="20"/>
        </w:rPr>
        <w:t xml:space="preserve"> </w:t>
      </w:r>
      <w:r w:rsidRPr="00AE7DB5">
        <w:rPr>
          <w:rFonts w:cs="Times New Roman"/>
          <w:sz w:val="20"/>
          <w:szCs w:val="20"/>
        </w:rPr>
        <w:t xml:space="preserve">в сумме </w:t>
      </w:r>
      <w:r w:rsidR="001D1A6B">
        <w:rPr>
          <w:rFonts w:cs="Times New Roman"/>
          <w:sz w:val="20"/>
          <w:szCs w:val="20"/>
        </w:rPr>
        <w:t>15 792</w:t>
      </w:r>
      <w:r w:rsidRPr="00AE7DB5">
        <w:rPr>
          <w:rFonts w:cs="Times New Roman"/>
          <w:sz w:val="20"/>
          <w:szCs w:val="20"/>
        </w:rPr>
        <w:t xml:space="preserve">млрд тенге (на </w:t>
      </w:r>
      <w:r w:rsidR="006B2662" w:rsidRPr="00AE7DB5">
        <w:rPr>
          <w:rFonts w:cs="Times New Roman"/>
          <w:sz w:val="20"/>
          <w:szCs w:val="20"/>
        </w:rPr>
        <w:t>01.01.</w:t>
      </w:r>
      <w:r w:rsidRPr="00AE7DB5">
        <w:rPr>
          <w:rFonts w:cs="Times New Roman"/>
          <w:sz w:val="20"/>
          <w:szCs w:val="20"/>
        </w:rPr>
        <w:t>20</w:t>
      </w:r>
      <w:r w:rsidR="001D1A6B">
        <w:rPr>
          <w:rFonts w:cs="Times New Roman"/>
          <w:sz w:val="20"/>
          <w:szCs w:val="20"/>
        </w:rPr>
        <w:t>20</w:t>
      </w:r>
      <w:r w:rsidRPr="00AE7DB5">
        <w:rPr>
          <w:rFonts w:cs="Times New Roman"/>
          <w:sz w:val="20"/>
          <w:szCs w:val="20"/>
        </w:rPr>
        <w:t xml:space="preserve"> года – </w:t>
      </w:r>
      <w:r w:rsidR="001D1A6B">
        <w:rPr>
          <w:rFonts w:cs="Times New Roman"/>
          <w:sz w:val="20"/>
          <w:szCs w:val="20"/>
        </w:rPr>
        <w:t>14 743</w:t>
      </w:r>
      <w:r w:rsidRPr="00AE7DB5">
        <w:rPr>
          <w:rFonts w:cs="Times New Roman"/>
          <w:sz w:val="20"/>
          <w:szCs w:val="20"/>
        </w:rPr>
        <w:t xml:space="preserve"> млрд</w:t>
      </w:r>
      <w:r w:rsidR="001D1A6B">
        <w:rPr>
          <w:rFonts w:cs="Times New Roman"/>
          <w:sz w:val="20"/>
          <w:szCs w:val="20"/>
        </w:rPr>
        <w:t xml:space="preserve"> тенге), увеличение с начала 2020</w:t>
      </w:r>
      <w:r w:rsidRPr="00AE7DB5">
        <w:rPr>
          <w:rFonts w:cs="Times New Roman"/>
          <w:sz w:val="20"/>
          <w:szCs w:val="20"/>
        </w:rPr>
        <w:t xml:space="preserve"> года – </w:t>
      </w:r>
      <w:r w:rsidR="00901214" w:rsidRPr="00AE7DB5">
        <w:rPr>
          <w:rFonts w:cs="Times New Roman"/>
          <w:sz w:val="20"/>
          <w:szCs w:val="20"/>
        </w:rPr>
        <w:t>7</w:t>
      </w:r>
      <w:r w:rsidRPr="00AE7DB5">
        <w:rPr>
          <w:rFonts w:cs="Times New Roman"/>
          <w:sz w:val="20"/>
          <w:szCs w:val="20"/>
        </w:rPr>
        <w:t>%.</w:t>
      </w:r>
      <w:r w:rsidR="000D2A26" w:rsidRPr="00AE7DB5">
        <w:rPr>
          <w:rFonts w:cs="Times New Roman"/>
          <w:sz w:val="20"/>
          <w:szCs w:val="20"/>
        </w:rPr>
        <w:t xml:space="preserve"> На начало </w:t>
      </w:r>
      <w:r w:rsidR="00C50188" w:rsidRPr="00AE7DB5">
        <w:rPr>
          <w:rFonts w:cs="Times New Roman"/>
          <w:sz w:val="20"/>
          <w:szCs w:val="20"/>
        </w:rPr>
        <w:t>202</w:t>
      </w:r>
      <w:r w:rsidR="00AB1D8A">
        <w:rPr>
          <w:rFonts w:cs="Times New Roman"/>
          <w:sz w:val="20"/>
          <w:szCs w:val="20"/>
        </w:rPr>
        <w:t>1</w:t>
      </w:r>
      <w:r w:rsidR="00C50188" w:rsidRPr="00AE7DB5">
        <w:rPr>
          <w:rFonts w:cs="Times New Roman"/>
          <w:sz w:val="20"/>
          <w:szCs w:val="20"/>
        </w:rPr>
        <w:t xml:space="preserve"> </w:t>
      </w:r>
      <w:r w:rsidR="000D2A26" w:rsidRPr="00AE7DB5">
        <w:rPr>
          <w:rFonts w:cs="Times New Roman"/>
          <w:sz w:val="20"/>
          <w:szCs w:val="20"/>
        </w:rPr>
        <w:t>года доля займов с просроченной задолженностью свыше 90 дней состав</w:t>
      </w:r>
      <w:r w:rsidR="00AB1D8A">
        <w:rPr>
          <w:rFonts w:cs="Times New Roman"/>
          <w:sz w:val="20"/>
          <w:szCs w:val="20"/>
        </w:rPr>
        <w:t>ила</w:t>
      </w:r>
      <w:r w:rsidR="000D2A26" w:rsidRPr="00AE7DB5">
        <w:rPr>
          <w:rFonts w:cs="Times New Roman"/>
          <w:sz w:val="20"/>
          <w:szCs w:val="20"/>
        </w:rPr>
        <w:t xml:space="preserve"> </w:t>
      </w:r>
      <w:r w:rsidR="00AB1D8A">
        <w:rPr>
          <w:rFonts w:cs="Times New Roman"/>
          <w:sz w:val="20"/>
          <w:szCs w:val="20"/>
        </w:rPr>
        <w:t>6,82</w:t>
      </w:r>
      <w:r w:rsidR="000D2A26" w:rsidRPr="00AE7DB5">
        <w:rPr>
          <w:rFonts w:cs="Times New Roman"/>
          <w:sz w:val="20"/>
          <w:szCs w:val="20"/>
        </w:rPr>
        <w:t xml:space="preserve">% </w:t>
      </w:r>
      <w:r w:rsidR="00AB1D8A">
        <w:rPr>
          <w:rFonts w:cs="Times New Roman"/>
          <w:sz w:val="20"/>
          <w:szCs w:val="20"/>
        </w:rPr>
        <w:t>снизившись на 16% по сравнению с прошлым годом</w:t>
      </w:r>
      <w:r w:rsidR="00724DA0" w:rsidRPr="00724DA0">
        <w:rPr>
          <w:rFonts w:cs="Times New Roman"/>
          <w:sz w:val="20"/>
          <w:szCs w:val="20"/>
        </w:rPr>
        <w:t xml:space="preserve"> </w:t>
      </w:r>
      <w:r w:rsidR="000D2A26" w:rsidRPr="00AE7DB5">
        <w:rPr>
          <w:rFonts w:cs="Times New Roman"/>
          <w:sz w:val="20"/>
          <w:szCs w:val="20"/>
        </w:rPr>
        <w:t>(</w:t>
      </w:r>
      <w:r w:rsidR="00AB1D8A">
        <w:rPr>
          <w:rFonts w:cs="Times New Roman"/>
          <w:sz w:val="20"/>
          <w:szCs w:val="20"/>
        </w:rPr>
        <w:t>8,14 %</w:t>
      </w:r>
      <w:r w:rsidR="000D2A26" w:rsidRPr="00AE7DB5">
        <w:rPr>
          <w:rFonts w:cs="Times New Roman"/>
          <w:sz w:val="20"/>
          <w:szCs w:val="20"/>
        </w:rPr>
        <w:t>).</w:t>
      </w:r>
    </w:p>
    <w:p w:rsidR="00AB1D8A" w:rsidRPr="00724DA0" w:rsidRDefault="00AB1D8A" w:rsidP="006910ED">
      <w:pPr>
        <w:ind w:firstLine="567"/>
        <w:jc w:val="both"/>
        <w:rPr>
          <w:rFonts w:cs="Times New Roman"/>
          <w:sz w:val="20"/>
          <w:szCs w:val="20"/>
        </w:rPr>
      </w:pPr>
    </w:p>
    <w:p w:rsidR="006910ED" w:rsidRPr="00AE7DB5" w:rsidRDefault="006910ED" w:rsidP="006910ED">
      <w:pPr>
        <w:ind w:firstLine="567"/>
        <w:jc w:val="both"/>
        <w:rPr>
          <w:rFonts w:cs="Times New Roman"/>
          <w:sz w:val="20"/>
          <w:szCs w:val="20"/>
        </w:rPr>
      </w:pPr>
      <w:r w:rsidRPr="00AE7DB5">
        <w:rPr>
          <w:rFonts w:cs="Times New Roman"/>
          <w:sz w:val="20"/>
          <w:szCs w:val="20"/>
        </w:rPr>
        <w:t xml:space="preserve">Объём кредитов на строительство и приобретение жилья растёт более </w:t>
      </w:r>
      <w:r w:rsidR="00901176" w:rsidRPr="00AE7DB5">
        <w:rPr>
          <w:rFonts w:cs="Times New Roman"/>
          <w:sz w:val="20"/>
          <w:szCs w:val="20"/>
        </w:rPr>
        <w:t xml:space="preserve">пяти </w:t>
      </w:r>
      <w:r w:rsidRPr="00AE7DB5">
        <w:rPr>
          <w:rFonts w:cs="Times New Roman"/>
          <w:sz w:val="20"/>
          <w:szCs w:val="20"/>
        </w:rPr>
        <w:t>лет подряд, причём за 20</w:t>
      </w:r>
      <w:r w:rsidR="008C0CA6" w:rsidRPr="008C0CA6">
        <w:rPr>
          <w:rFonts w:cs="Times New Roman"/>
          <w:sz w:val="20"/>
          <w:szCs w:val="20"/>
        </w:rPr>
        <w:t>20</w:t>
      </w:r>
      <w:r w:rsidRPr="00AE7DB5">
        <w:rPr>
          <w:rFonts w:cs="Times New Roman"/>
          <w:sz w:val="20"/>
          <w:szCs w:val="20"/>
        </w:rPr>
        <w:t xml:space="preserve"> год был отмечен рост сразу на </w:t>
      </w:r>
      <w:r w:rsidR="008C0CA6" w:rsidRPr="008C0CA6">
        <w:rPr>
          <w:rFonts w:cs="Times New Roman"/>
          <w:sz w:val="20"/>
          <w:szCs w:val="20"/>
        </w:rPr>
        <w:t>32</w:t>
      </w:r>
      <w:r w:rsidRPr="00AE7DB5">
        <w:rPr>
          <w:rFonts w:cs="Times New Roman"/>
          <w:sz w:val="20"/>
          <w:szCs w:val="20"/>
        </w:rPr>
        <w:t>% к концу декабря 20</w:t>
      </w:r>
      <w:r w:rsidR="008C0CA6" w:rsidRPr="008C0CA6">
        <w:rPr>
          <w:rFonts w:cs="Times New Roman"/>
          <w:sz w:val="20"/>
          <w:szCs w:val="20"/>
        </w:rPr>
        <w:t>20</w:t>
      </w:r>
      <w:r w:rsidRPr="00AE7DB5">
        <w:rPr>
          <w:rFonts w:cs="Times New Roman"/>
          <w:sz w:val="20"/>
          <w:szCs w:val="20"/>
        </w:rPr>
        <w:t xml:space="preserve"> года, до </w:t>
      </w:r>
      <w:r w:rsidR="008C0CA6">
        <w:rPr>
          <w:rFonts w:cs="Times New Roman"/>
          <w:sz w:val="20"/>
          <w:szCs w:val="20"/>
        </w:rPr>
        <w:t>2,5</w:t>
      </w:r>
      <w:r w:rsidRPr="00AE7DB5">
        <w:rPr>
          <w:rFonts w:cs="Times New Roman"/>
          <w:sz w:val="20"/>
          <w:szCs w:val="20"/>
        </w:rPr>
        <w:t xml:space="preserve"> трлн тенге.</w:t>
      </w:r>
    </w:p>
    <w:p w:rsidR="001359F0" w:rsidRPr="00AE7DB5" w:rsidRDefault="001359F0" w:rsidP="008D00F1">
      <w:pPr>
        <w:tabs>
          <w:tab w:val="left" w:pos="284"/>
        </w:tabs>
        <w:spacing w:after="0" w:line="240" w:lineRule="auto"/>
        <w:ind w:firstLine="709"/>
        <w:jc w:val="both"/>
        <w:rPr>
          <w:rFonts w:cs="Times New Roman"/>
          <w:b/>
          <w:sz w:val="20"/>
          <w:szCs w:val="20"/>
        </w:rPr>
      </w:pPr>
      <w:r w:rsidRPr="00AE7DB5">
        <w:rPr>
          <w:rFonts w:cs="Times New Roman"/>
          <w:bCs/>
          <w:noProof/>
          <w:sz w:val="20"/>
          <w:szCs w:val="20"/>
          <w:lang w:eastAsia="ru-RU"/>
        </w:rPr>
        <w:drawing>
          <wp:inline distT="0" distB="0" distL="0" distR="0" wp14:anchorId="721857AD" wp14:editId="2AE87FBC">
            <wp:extent cx="5019675" cy="21526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59F0" w:rsidRPr="00AE7DB5" w:rsidRDefault="003E68D8" w:rsidP="003E68D8">
      <w:pPr>
        <w:tabs>
          <w:tab w:val="left" w:pos="284"/>
        </w:tabs>
        <w:spacing w:after="0" w:line="240" w:lineRule="auto"/>
        <w:ind w:left="284" w:hanging="284"/>
        <w:rPr>
          <w:rFonts w:cs="Times New Roman"/>
          <w:i/>
          <w:sz w:val="20"/>
          <w:szCs w:val="20"/>
        </w:rPr>
      </w:pPr>
      <w:r w:rsidRPr="00AE7DB5">
        <w:rPr>
          <w:rFonts w:cs="Times New Roman"/>
          <w:i/>
          <w:sz w:val="20"/>
          <w:szCs w:val="20"/>
        </w:rPr>
        <w:tab/>
      </w:r>
      <w:r w:rsidRPr="00AE7DB5">
        <w:rPr>
          <w:rFonts w:cs="Times New Roman"/>
          <w:i/>
          <w:sz w:val="20"/>
          <w:szCs w:val="20"/>
        </w:rPr>
        <w:tab/>
        <w:t>Источник: Национальный Банк РК</w:t>
      </w:r>
    </w:p>
    <w:p w:rsidR="001359F0" w:rsidRPr="00AE7DB5" w:rsidRDefault="001359F0" w:rsidP="008D00F1">
      <w:pPr>
        <w:tabs>
          <w:tab w:val="left" w:pos="284"/>
        </w:tabs>
        <w:spacing w:after="0" w:line="240" w:lineRule="auto"/>
        <w:ind w:firstLine="709"/>
        <w:jc w:val="both"/>
        <w:rPr>
          <w:rFonts w:cs="Times New Roman"/>
          <w:b/>
          <w:sz w:val="20"/>
          <w:szCs w:val="20"/>
        </w:rPr>
      </w:pPr>
    </w:p>
    <w:p w:rsidR="00C50199" w:rsidRPr="00EA3746" w:rsidRDefault="00C50199" w:rsidP="008D00F1">
      <w:pPr>
        <w:tabs>
          <w:tab w:val="left" w:pos="284"/>
        </w:tabs>
        <w:spacing w:after="0" w:line="240" w:lineRule="auto"/>
        <w:ind w:firstLine="709"/>
        <w:jc w:val="both"/>
        <w:rPr>
          <w:rFonts w:cs="Times New Roman"/>
          <w:sz w:val="20"/>
          <w:szCs w:val="20"/>
          <w:highlight w:val="yellow"/>
        </w:rPr>
      </w:pPr>
      <w:r w:rsidRPr="00635372">
        <w:rPr>
          <w:rFonts w:cs="Times New Roman"/>
          <w:sz w:val="20"/>
          <w:szCs w:val="20"/>
        </w:rPr>
        <w:t xml:space="preserve">Обязательства банков второго уровня РК составляют </w:t>
      </w:r>
      <w:r w:rsidR="00635372" w:rsidRPr="00635372">
        <w:rPr>
          <w:rFonts w:cs="Times New Roman"/>
          <w:sz w:val="20"/>
          <w:szCs w:val="20"/>
        </w:rPr>
        <w:t>27 217</w:t>
      </w:r>
      <w:r w:rsidR="00971A25" w:rsidRPr="00635372">
        <w:rPr>
          <w:rFonts w:cs="Times New Roman"/>
          <w:sz w:val="20"/>
          <w:szCs w:val="20"/>
        </w:rPr>
        <w:t xml:space="preserve"> </w:t>
      </w:r>
      <w:r w:rsidRPr="00635372">
        <w:rPr>
          <w:rFonts w:cs="Times New Roman"/>
          <w:sz w:val="20"/>
          <w:szCs w:val="20"/>
        </w:rPr>
        <w:t>млрд тенге (на начало 20</w:t>
      </w:r>
      <w:r w:rsidR="00635372" w:rsidRPr="00635372">
        <w:rPr>
          <w:rFonts w:cs="Times New Roman"/>
          <w:sz w:val="20"/>
          <w:szCs w:val="20"/>
        </w:rPr>
        <w:t>20</w:t>
      </w:r>
      <w:r w:rsidRPr="00635372">
        <w:rPr>
          <w:rFonts w:cs="Times New Roman"/>
          <w:sz w:val="20"/>
          <w:szCs w:val="20"/>
        </w:rPr>
        <w:t xml:space="preserve"> года – </w:t>
      </w:r>
      <w:r w:rsidR="00635372" w:rsidRPr="00635372">
        <w:rPr>
          <w:rFonts w:cs="Times New Roman"/>
          <w:sz w:val="20"/>
          <w:szCs w:val="20"/>
        </w:rPr>
        <w:t xml:space="preserve">23 165 </w:t>
      </w:r>
      <w:r w:rsidRPr="00635372">
        <w:rPr>
          <w:rFonts w:cs="Times New Roman"/>
          <w:sz w:val="20"/>
          <w:szCs w:val="20"/>
        </w:rPr>
        <w:t xml:space="preserve">млрд тенге), </w:t>
      </w:r>
      <w:r w:rsidR="008D00F1" w:rsidRPr="00635372">
        <w:rPr>
          <w:rFonts w:cs="Times New Roman"/>
          <w:sz w:val="20"/>
          <w:szCs w:val="20"/>
        </w:rPr>
        <w:t>увеличение с начала 20</w:t>
      </w:r>
      <w:r w:rsidR="00635372" w:rsidRPr="00635372">
        <w:rPr>
          <w:rFonts w:cs="Times New Roman"/>
          <w:sz w:val="20"/>
          <w:szCs w:val="20"/>
        </w:rPr>
        <w:t>20</w:t>
      </w:r>
      <w:r w:rsidRPr="00635372">
        <w:rPr>
          <w:rFonts w:cs="Times New Roman"/>
          <w:sz w:val="20"/>
          <w:szCs w:val="20"/>
        </w:rPr>
        <w:t xml:space="preserve"> года – </w:t>
      </w:r>
      <w:r w:rsidR="00635372" w:rsidRPr="00635372">
        <w:rPr>
          <w:rFonts w:cs="Times New Roman"/>
          <w:sz w:val="20"/>
          <w:szCs w:val="20"/>
        </w:rPr>
        <w:t>17</w:t>
      </w:r>
      <w:r w:rsidR="008D00F1" w:rsidRPr="00635372">
        <w:rPr>
          <w:rFonts w:cs="Times New Roman"/>
          <w:sz w:val="20"/>
          <w:szCs w:val="20"/>
        </w:rPr>
        <w:t xml:space="preserve">%. </w:t>
      </w:r>
      <w:r w:rsidRPr="00635372">
        <w:rPr>
          <w:rFonts w:cs="Times New Roman"/>
          <w:sz w:val="20"/>
          <w:szCs w:val="20"/>
        </w:rPr>
        <w:t xml:space="preserve">В совокупных обязательствах банков второго уровня наибольшую долю занимают вклады клиентов – </w:t>
      </w:r>
      <w:r w:rsidR="008D00F1" w:rsidRPr="00635372">
        <w:rPr>
          <w:rFonts w:cs="Times New Roman"/>
          <w:sz w:val="20"/>
          <w:szCs w:val="20"/>
        </w:rPr>
        <w:t>7</w:t>
      </w:r>
      <w:r w:rsidR="00635372" w:rsidRPr="00635372">
        <w:rPr>
          <w:rFonts w:cs="Times New Roman"/>
          <w:sz w:val="20"/>
          <w:szCs w:val="20"/>
        </w:rPr>
        <w:t>9</w:t>
      </w:r>
      <w:r w:rsidR="008D00F1" w:rsidRPr="00635372">
        <w:rPr>
          <w:rFonts w:cs="Times New Roman"/>
          <w:sz w:val="20"/>
          <w:szCs w:val="20"/>
        </w:rPr>
        <w:t>%.</w:t>
      </w:r>
      <w:r w:rsidR="004F0F2F" w:rsidRPr="00635372">
        <w:rPr>
          <w:sz w:val="20"/>
          <w:szCs w:val="20"/>
        </w:rPr>
        <w:t xml:space="preserve"> </w:t>
      </w:r>
      <w:r w:rsidR="004F0F2F" w:rsidRPr="00635372">
        <w:rPr>
          <w:rFonts w:cs="Times New Roman"/>
          <w:sz w:val="20"/>
          <w:szCs w:val="20"/>
        </w:rPr>
        <w:t xml:space="preserve">Объем вкладов БВУ РК увеличился с начала </w:t>
      </w:r>
      <w:r w:rsidR="000B7070" w:rsidRPr="00635372">
        <w:rPr>
          <w:rFonts w:cs="Times New Roman"/>
          <w:sz w:val="20"/>
          <w:szCs w:val="20"/>
        </w:rPr>
        <w:t>20</w:t>
      </w:r>
      <w:r w:rsidR="00635372" w:rsidRPr="00635372">
        <w:rPr>
          <w:rFonts w:cs="Times New Roman"/>
          <w:sz w:val="20"/>
          <w:szCs w:val="20"/>
        </w:rPr>
        <w:t>20</w:t>
      </w:r>
      <w:r w:rsidR="000B7070" w:rsidRPr="00635372">
        <w:rPr>
          <w:rFonts w:cs="Times New Roman"/>
          <w:sz w:val="20"/>
          <w:szCs w:val="20"/>
        </w:rPr>
        <w:t xml:space="preserve"> </w:t>
      </w:r>
      <w:r w:rsidR="004F0F2F" w:rsidRPr="00635372">
        <w:rPr>
          <w:rFonts w:cs="Times New Roman"/>
          <w:sz w:val="20"/>
          <w:szCs w:val="20"/>
        </w:rPr>
        <w:t xml:space="preserve">года на </w:t>
      </w:r>
      <w:r w:rsidR="00635372" w:rsidRPr="00635372">
        <w:rPr>
          <w:rFonts w:cs="Times New Roman"/>
          <w:sz w:val="20"/>
          <w:szCs w:val="20"/>
        </w:rPr>
        <w:t>20</w:t>
      </w:r>
      <w:r w:rsidR="004F0F2F" w:rsidRPr="00635372">
        <w:rPr>
          <w:rFonts w:cs="Times New Roman"/>
          <w:sz w:val="20"/>
          <w:szCs w:val="20"/>
        </w:rPr>
        <w:t xml:space="preserve">% </w:t>
      </w:r>
      <w:r w:rsidR="004F0F2F" w:rsidRPr="00635372">
        <w:rPr>
          <w:rFonts w:cs="Times New Roman"/>
          <w:sz w:val="20"/>
          <w:szCs w:val="20"/>
        </w:rPr>
        <w:br/>
        <w:t>(+</w:t>
      </w:r>
      <w:r w:rsidR="00635372" w:rsidRPr="00635372">
        <w:rPr>
          <w:rFonts w:cs="Times New Roman"/>
          <w:sz w:val="20"/>
          <w:szCs w:val="20"/>
        </w:rPr>
        <w:t>3 582</w:t>
      </w:r>
      <w:r w:rsidR="004F0F2F" w:rsidRPr="00635372">
        <w:rPr>
          <w:rFonts w:cs="Times New Roman"/>
          <w:sz w:val="20"/>
          <w:szCs w:val="20"/>
        </w:rPr>
        <w:t xml:space="preserve"> млрд</w:t>
      </w:r>
      <w:r w:rsidR="000B7070" w:rsidRPr="00635372">
        <w:rPr>
          <w:rFonts w:cs="Times New Roman"/>
          <w:sz w:val="20"/>
          <w:szCs w:val="20"/>
        </w:rPr>
        <w:t>.</w:t>
      </w:r>
      <w:r w:rsidR="004F0F2F" w:rsidRPr="00635372">
        <w:rPr>
          <w:rFonts w:cs="Times New Roman"/>
          <w:sz w:val="20"/>
          <w:szCs w:val="20"/>
        </w:rPr>
        <w:t xml:space="preserve"> тенге) и составил </w:t>
      </w:r>
      <w:r w:rsidR="00635372" w:rsidRPr="00635372">
        <w:rPr>
          <w:rFonts w:cs="Times New Roman"/>
          <w:sz w:val="20"/>
          <w:szCs w:val="20"/>
        </w:rPr>
        <w:t>21 559</w:t>
      </w:r>
      <w:r w:rsidR="004F0F2F" w:rsidRPr="00635372">
        <w:rPr>
          <w:rFonts w:cs="Times New Roman"/>
          <w:sz w:val="20"/>
          <w:szCs w:val="20"/>
        </w:rPr>
        <w:t xml:space="preserve"> млрд. тенге. Вклады физических лиц выросли на </w:t>
      </w:r>
      <w:r w:rsidR="00635372" w:rsidRPr="00635372">
        <w:rPr>
          <w:rFonts w:cs="Times New Roman"/>
          <w:sz w:val="20"/>
          <w:szCs w:val="20"/>
        </w:rPr>
        <w:t>18</w:t>
      </w:r>
      <w:r w:rsidR="004F0F2F" w:rsidRPr="00635372">
        <w:rPr>
          <w:rFonts w:cs="Times New Roman"/>
          <w:sz w:val="20"/>
          <w:szCs w:val="20"/>
        </w:rPr>
        <w:t>% (+</w:t>
      </w:r>
      <w:r w:rsidR="00635372" w:rsidRPr="00635372">
        <w:rPr>
          <w:rFonts w:cs="Times New Roman"/>
          <w:sz w:val="20"/>
          <w:szCs w:val="20"/>
        </w:rPr>
        <w:t>1 630</w:t>
      </w:r>
      <w:r w:rsidR="004F0F2F" w:rsidRPr="00635372">
        <w:rPr>
          <w:rFonts w:cs="Times New Roman"/>
          <w:sz w:val="20"/>
          <w:szCs w:val="20"/>
        </w:rPr>
        <w:t xml:space="preserve"> млрд тенге) до </w:t>
      </w:r>
      <w:r w:rsidR="00635372" w:rsidRPr="00635372">
        <w:rPr>
          <w:rFonts w:cs="Times New Roman"/>
          <w:sz w:val="20"/>
          <w:szCs w:val="20"/>
        </w:rPr>
        <w:t>10 943</w:t>
      </w:r>
      <w:r w:rsidR="004F0F2F" w:rsidRPr="00635372">
        <w:rPr>
          <w:rFonts w:cs="Times New Roman"/>
          <w:sz w:val="20"/>
          <w:szCs w:val="20"/>
        </w:rPr>
        <w:t xml:space="preserve"> млрд.</w:t>
      </w:r>
      <w:r w:rsidR="00D54997" w:rsidRPr="00635372">
        <w:rPr>
          <w:rFonts w:cs="Times New Roman"/>
          <w:sz w:val="20"/>
          <w:szCs w:val="20"/>
        </w:rPr>
        <w:t xml:space="preserve"> </w:t>
      </w:r>
      <w:r w:rsidR="004F0F2F" w:rsidRPr="00635372">
        <w:rPr>
          <w:rFonts w:cs="Times New Roman"/>
          <w:sz w:val="20"/>
          <w:szCs w:val="20"/>
        </w:rPr>
        <w:t xml:space="preserve">тенге. </w:t>
      </w:r>
      <w:r w:rsidR="004F0F2F" w:rsidRPr="003D5D02">
        <w:rPr>
          <w:rFonts w:cs="Times New Roman"/>
          <w:sz w:val="20"/>
          <w:szCs w:val="20"/>
        </w:rPr>
        <w:t xml:space="preserve">Вклады юридических лиц </w:t>
      </w:r>
      <w:r w:rsidR="00BB75E4" w:rsidRPr="003D5D02">
        <w:rPr>
          <w:rFonts w:cs="Times New Roman"/>
          <w:sz w:val="20"/>
          <w:szCs w:val="20"/>
        </w:rPr>
        <w:t xml:space="preserve">увеличились </w:t>
      </w:r>
      <w:r w:rsidR="004F0F2F" w:rsidRPr="003D5D02">
        <w:rPr>
          <w:rFonts w:cs="Times New Roman"/>
          <w:sz w:val="20"/>
          <w:szCs w:val="20"/>
        </w:rPr>
        <w:t xml:space="preserve">на </w:t>
      </w:r>
      <w:r w:rsidR="003D5D02" w:rsidRPr="003D5D02">
        <w:rPr>
          <w:rFonts w:cs="Times New Roman"/>
          <w:sz w:val="20"/>
          <w:szCs w:val="20"/>
        </w:rPr>
        <w:t>23</w:t>
      </w:r>
      <w:r w:rsidR="004F0F2F" w:rsidRPr="003D5D02">
        <w:rPr>
          <w:rFonts w:cs="Times New Roman"/>
          <w:sz w:val="20"/>
          <w:szCs w:val="20"/>
        </w:rPr>
        <w:t>% (</w:t>
      </w:r>
      <w:r w:rsidR="003D5D02" w:rsidRPr="003D5D02">
        <w:rPr>
          <w:rFonts w:cs="Times New Roman"/>
          <w:sz w:val="20"/>
          <w:szCs w:val="20"/>
        </w:rPr>
        <w:t>1 952</w:t>
      </w:r>
      <w:r w:rsidR="004F0F2F" w:rsidRPr="003D5D02">
        <w:rPr>
          <w:rFonts w:cs="Times New Roman"/>
          <w:sz w:val="20"/>
          <w:szCs w:val="20"/>
        </w:rPr>
        <w:t xml:space="preserve"> млрд тенге) до </w:t>
      </w:r>
      <w:r w:rsidR="003D5D02" w:rsidRPr="003D5D02">
        <w:rPr>
          <w:rFonts w:cs="Times New Roman"/>
          <w:sz w:val="20"/>
          <w:szCs w:val="20"/>
        </w:rPr>
        <w:t>10 616</w:t>
      </w:r>
      <w:r w:rsidR="004F0F2F" w:rsidRPr="003D5D02">
        <w:rPr>
          <w:rFonts w:cs="Times New Roman"/>
          <w:sz w:val="20"/>
          <w:szCs w:val="20"/>
        </w:rPr>
        <w:t>млрд.</w:t>
      </w:r>
      <w:r w:rsidR="00DC52A0" w:rsidRPr="003D5D02">
        <w:rPr>
          <w:rFonts w:cs="Times New Roman"/>
          <w:sz w:val="20"/>
          <w:szCs w:val="20"/>
        </w:rPr>
        <w:t xml:space="preserve"> </w:t>
      </w:r>
      <w:r w:rsidR="004F0F2F" w:rsidRPr="003D5D02">
        <w:rPr>
          <w:rFonts w:cs="Times New Roman"/>
          <w:sz w:val="20"/>
          <w:szCs w:val="20"/>
        </w:rPr>
        <w:t xml:space="preserve">тенге. </w:t>
      </w:r>
      <w:r w:rsidR="008571F1" w:rsidRPr="003D5D02">
        <w:rPr>
          <w:rFonts w:cs="Times New Roman"/>
          <w:sz w:val="20"/>
          <w:szCs w:val="20"/>
        </w:rPr>
        <w:t>Н</w:t>
      </w:r>
      <w:r w:rsidR="00363E25" w:rsidRPr="003D5D02">
        <w:rPr>
          <w:rFonts w:cs="Times New Roman"/>
          <w:sz w:val="20"/>
          <w:szCs w:val="20"/>
        </w:rPr>
        <w:t>а рынке долгосрочных вкладов</w:t>
      </w:r>
      <w:r w:rsidR="008571F1" w:rsidRPr="003D5D02">
        <w:rPr>
          <w:rFonts w:cs="Times New Roman"/>
          <w:sz w:val="20"/>
          <w:szCs w:val="20"/>
        </w:rPr>
        <w:t xml:space="preserve"> </w:t>
      </w:r>
      <w:r w:rsidR="00DA15E4">
        <w:rPr>
          <w:rFonts w:cs="Times New Roman"/>
          <w:sz w:val="20"/>
          <w:szCs w:val="20"/>
        </w:rPr>
        <w:t>АО «Отбасы банк»</w:t>
      </w:r>
      <w:r w:rsidR="008571F1" w:rsidRPr="003D5D02">
        <w:rPr>
          <w:rFonts w:cs="Times New Roman"/>
          <w:sz w:val="20"/>
          <w:szCs w:val="20"/>
        </w:rPr>
        <w:t xml:space="preserve"> занимает 1-е место (</w:t>
      </w:r>
      <w:r w:rsidR="003D5D02" w:rsidRPr="003D5D02">
        <w:rPr>
          <w:rFonts w:cs="Times New Roman"/>
          <w:sz w:val="20"/>
          <w:szCs w:val="20"/>
        </w:rPr>
        <w:t>1 034</w:t>
      </w:r>
      <w:r w:rsidR="008571F1" w:rsidRPr="003D5D02">
        <w:rPr>
          <w:rFonts w:cs="Times New Roman"/>
          <w:sz w:val="20"/>
          <w:szCs w:val="20"/>
        </w:rPr>
        <w:t xml:space="preserve"> </w:t>
      </w:r>
      <w:r w:rsidR="00BB75E4" w:rsidRPr="003D5D02">
        <w:rPr>
          <w:rFonts w:cs="Times New Roman"/>
          <w:sz w:val="20"/>
          <w:szCs w:val="20"/>
        </w:rPr>
        <w:t>млрд. тенге</w:t>
      </w:r>
      <w:r w:rsidR="00B55203" w:rsidRPr="003D5D02">
        <w:rPr>
          <w:rFonts w:cs="Times New Roman"/>
          <w:sz w:val="20"/>
          <w:szCs w:val="20"/>
        </w:rPr>
        <w:t>), доля составляет 34</w:t>
      </w:r>
      <w:r w:rsidR="008571F1" w:rsidRPr="003D5D02">
        <w:rPr>
          <w:rFonts w:cs="Times New Roman"/>
          <w:sz w:val="20"/>
          <w:szCs w:val="20"/>
        </w:rPr>
        <w:t>%.</w:t>
      </w:r>
    </w:p>
    <w:p w:rsidR="00853F79" w:rsidRPr="00AE7DB5" w:rsidRDefault="00853F79" w:rsidP="008D00F1">
      <w:pPr>
        <w:tabs>
          <w:tab w:val="left" w:pos="284"/>
        </w:tabs>
        <w:spacing w:after="0" w:line="240" w:lineRule="auto"/>
        <w:ind w:firstLine="709"/>
        <w:jc w:val="both"/>
        <w:rPr>
          <w:rFonts w:cs="Times New Roman"/>
          <w:sz w:val="20"/>
          <w:szCs w:val="20"/>
        </w:rPr>
      </w:pPr>
      <w:r w:rsidRPr="003D5D02">
        <w:rPr>
          <w:rFonts w:cs="Times New Roman"/>
          <w:sz w:val="20"/>
          <w:szCs w:val="20"/>
        </w:rPr>
        <w:t xml:space="preserve">Собственный капитал сектора составляет </w:t>
      </w:r>
      <w:r w:rsidR="003D5D02" w:rsidRPr="003D5D02">
        <w:rPr>
          <w:rFonts w:cs="Times New Roman"/>
          <w:sz w:val="20"/>
          <w:szCs w:val="20"/>
        </w:rPr>
        <w:t>3 955</w:t>
      </w:r>
      <w:r w:rsidRPr="003D5D02">
        <w:rPr>
          <w:rFonts w:cs="Times New Roman"/>
          <w:sz w:val="20"/>
          <w:szCs w:val="20"/>
        </w:rPr>
        <w:t xml:space="preserve"> млрд.</w:t>
      </w:r>
      <w:r w:rsidR="005869A5" w:rsidRPr="003D5D02">
        <w:rPr>
          <w:rFonts w:cs="Times New Roman"/>
          <w:sz w:val="20"/>
          <w:szCs w:val="20"/>
        </w:rPr>
        <w:t xml:space="preserve"> </w:t>
      </w:r>
      <w:r w:rsidRPr="003D5D02">
        <w:rPr>
          <w:rFonts w:cs="Times New Roman"/>
          <w:sz w:val="20"/>
          <w:szCs w:val="20"/>
        </w:rPr>
        <w:t xml:space="preserve">тенге, </w:t>
      </w:r>
      <w:r w:rsidR="00934FCC" w:rsidRPr="003D5D02">
        <w:rPr>
          <w:rFonts w:cs="Times New Roman"/>
          <w:sz w:val="20"/>
          <w:szCs w:val="20"/>
        </w:rPr>
        <w:t>увеличение с начала 20</w:t>
      </w:r>
      <w:r w:rsidR="003D5D02" w:rsidRPr="003D5D02">
        <w:rPr>
          <w:rFonts w:cs="Times New Roman"/>
          <w:sz w:val="20"/>
          <w:szCs w:val="20"/>
        </w:rPr>
        <w:t>20</w:t>
      </w:r>
      <w:r w:rsidR="00934FCC" w:rsidRPr="003D5D02">
        <w:rPr>
          <w:rFonts w:cs="Times New Roman"/>
          <w:sz w:val="20"/>
          <w:szCs w:val="20"/>
        </w:rPr>
        <w:t xml:space="preserve"> года </w:t>
      </w:r>
      <w:r w:rsidR="003D5D02" w:rsidRPr="003D5D02">
        <w:rPr>
          <w:rFonts w:cs="Times New Roman"/>
          <w:sz w:val="20"/>
          <w:szCs w:val="20"/>
        </w:rPr>
        <w:t>8</w:t>
      </w:r>
      <w:r w:rsidR="00934FCC" w:rsidRPr="003D5D02">
        <w:rPr>
          <w:rFonts w:cs="Times New Roman"/>
          <w:sz w:val="20"/>
          <w:szCs w:val="20"/>
        </w:rPr>
        <w:t xml:space="preserve">% </w:t>
      </w:r>
      <w:r w:rsidRPr="003D5D02">
        <w:rPr>
          <w:rFonts w:cs="Times New Roman"/>
          <w:sz w:val="20"/>
          <w:szCs w:val="20"/>
        </w:rPr>
        <w:t>(</w:t>
      </w:r>
      <w:r w:rsidR="003D5D02" w:rsidRPr="003D5D02">
        <w:rPr>
          <w:rFonts w:cs="Times New Roman"/>
          <w:sz w:val="20"/>
          <w:szCs w:val="20"/>
        </w:rPr>
        <w:t>307</w:t>
      </w:r>
      <w:r w:rsidRPr="003D5D02">
        <w:rPr>
          <w:rFonts w:cs="Times New Roman"/>
          <w:sz w:val="20"/>
          <w:szCs w:val="20"/>
        </w:rPr>
        <w:t xml:space="preserve"> млрд тенге).</w:t>
      </w:r>
      <w:r w:rsidRPr="00AE7DB5">
        <w:rPr>
          <w:rFonts w:cs="Times New Roman"/>
          <w:sz w:val="20"/>
          <w:szCs w:val="20"/>
        </w:rPr>
        <w:t xml:space="preserve"> Абсолютным лидером является </w:t>
      </w:r>
      <w:r w:rsidR="006470A2" w:rsidRPr="00AE7DB5">
        <w:rPr>
          <w:rFonts w:cs="Times New Roman"/>
          <w:sz w:val="20"/>
          <w:szCs w:val="20"/>
        </w:rPr>
        <w:t>АО «</w:t>
      </w:r>
      <w:r w:rsidR="00D7478C" w:rsidRPr="00AE7DB5">
        <w:rPr>
          <w:rFonts w:cs="Times New Roman"/>
          <w:sz w:val="20"/>
          <w:szCs w:val="20"/>
        </w:rPr>
        <w:t>Народный</w:t>
      </w:r>
      <w:r w:rsidRPr="00AE7DB5">
        <w:rPr>
          <w:rFonts w:cs="Times New Roman"/>
          <w:sz w:val="20"/>
          <w:szCs w:val="20"/>
        </w:rPr>
        <w:t xml:space="preserve"> банк</w:t>
      </w:r>
      <w:r w:rsidR="006470A2" w:rsidRPr="00AE7DB5">
        <w:rPr>
          <w:rFonts w:cs="Times New Roman"/>
          <w:sz w:val="20"/>
          <w:szCs w:val="20"/>
        </w:rPr>
        <w:t xml:space="preserve"> Казахстана»</w:t>
      </w:r>
      <w:r w:rsidRPr="00AE7DB5">
        <w:rPr>
          <w:rFonts w:cs="Times New Roman"/>
          <w:sz w:val="20"/>
          <w:szCs w:val="20"/>
        </w:rPr>
        <w:t xml:space="preserve"> с капиталом </w:t>
      </w:r>
      <w:r w:rsidR="00D7478C" w:rsidRPr="00AE7DB5">
        <w:rPr>
          <w:rFonts w:cs="Times New Roman"/>
          <w:sz w:val="20"/>
          <w:szCs w:val="20"/>
        </w:rPr>
        <w:t xml:space="preserve">1 </w:t>
      </w:r>
      <w:r w:rsidR="003D5D02">
        <w:rPr>
          <w:rFonts w:cs="Times New Roman"/>
          <w:sz w:val="20"/>
          <w:szCs w:val="20"/>
        </w:rPr>
        <w:t>400</w:t>
      </w:r>
      <w:r w:rsidRPr="00AE7DB5">
        <w:rPr>
          <w:rFonts w:cs="Times New Roman"/>
          <w:sz w:val="20"/>
          <w:szCs w:val="20"/>
        </w:rPr>
        <w:t xml:space="preserve"> млрд тенге, что составляе</w:t>
      </w:r>
      <w:r w:rsidR="00D7478C" w:rsidRPr="00AE7DB5">
        <w:rPr>
          <w:rFonts w:cs="Times New Roman"/>
          <w:sz w:val="20"/>
          <w:szCs w:val="20"/>
        </w:rPr>
        <w:t>т 3</w:t>
      </w:r>
      <w:r w:rsidR="003D5D02">
        <w:rPr>
          <w:rFonts w:cs="Times New Roman"/>
          <w:sz w:val="20"/>
          <w:szCs w:val="20"/>
        </w:rPr>
        <w:t>5</w:t>
      </w:r>
      <w:r w:rsidRPr="00AE7DB5">
        <w:rPr>
          <w:rFonts w:cs="Times New Roman"/>
          <w:sz w:val="20"/>
          <w:szCs w:val="20"/>
        </w:rPr>
        <w:t>% от капитала всего сектора.</w:t>
      </w:r>
    </w:p>
    <w:p w:rsidR="00D7478C" w:rsidRPr="003D5D02" w:rsidRDefault="00D7478C" w:rsidP="008D00F1">
      <w:pPr>
        <w:tabs>
          <w:tab w:val="left" w:pos="284"/>
        </w:tabs>
        <w:spacing w:after="0" w:line="240" w:lineRule="auto"/>
        <w:ind w:firstLine="709"/>
        <w:jc w:val="both"/>
        <w:rPr>
          <w:rFonts w:cs="Times New Roman"/>
          <w:sz w:val="20"/>
          <w:szCs w:val="20"/>
          <w:highlight w:val="yellow"/>
        </w:rPr>
      </w:pPr>
      <w:r w:rsidRPr="003D5D02">
        <w:rPr>
          <w:rFonts w:cs="Times New Roman"/>
          <w:sz w:val="20"/>
          <w:szCs w:val="20"/>
        </w:rPr>
        <w:t>Чистая прибыль всего сектора составляет</w:t>
      </w:r>
      <w:r w:rsidR="00EF5137" w:rsidRPr="003D5D02">
        <w:rPr>
          <w:rFonts w:cs="Times New Roman"/>
          <w:sz w:val="20"/>
          <w:szCs w:val="20"/>
        </w:rPr>
        <w:t xml:space="preserve"> </w:t>
      </w:r>
      <w:r w:rsidR="003D5D02" w:rsidRPr="003D5D02">
        <w:rPr>
          <w:rFonts w:cs="Times New Roman"/>
          <w:sz w:val="20"/>
          <w:szCs w:val="20"/>
        </w:rPr>
        <w:t>905</w:t>
      </w:r>
      <w:r w:rsidR="00EF5137" w:rsidRPr="003D5D02">
        <w:rPr>
          <w:rFonts w:cs="Times New Roman"/>
          <w:sz w:val="20"/>
          <w:szCs w:val="20"/>
        </w:rPr>
        <w:t xml:space="preserve"> млрд. тенге</w:t>
      </w:r>
      <w:r w:rsidRPr="003D5D02">
        <w:rPr>
          <w:rFonts w:cs="Times New Roman"/>
          <w:sz w:val="20"/>
          <w:szCs w:val="20"/>
        </w:rPr>
        <w:t>.</w:t>
      </w:r>
      <w:r w:rsidR="005869A5" w:rsidRPr="003D5D02">
        <w:rPr>
          <w:rFonts w:cs="Times New Roman"/>
          <w:sz w:val="20"/>
          <w:szCs w:val="20"/>
        </w:rPr>
        <w:t xml:space="preserve"> </w:t>
      </w:r>
      <w:r w:rsidRPr="00A02429">
        <w:rPr>
          <w:rFonts w:cs="Times New Roman"/>
          <w:sz w:val="20"/>
          <w:szCs w:val="20"/>
        </w:rPr>
        <w:t>Хорошую чистую прибыль показал</w:t>
      </w:r>
      <w:r w:rsidR="00B04598" w:rsidRPr="00A02429">
        <w:rPr>
          <w:rFonts w:cs="Times New Roman"/>
          <w:sz w:val="20"/>
          <w:szCs w:val="20"/>
        </w:rPr>
        <w:t>о АО</w:t>
      </w:r>
      <w:r w:rsidRPr="00A02429">
        <w:rPr>
          <w:rFonts w:cs="Times New Roman"/>
          <w:sz w:val="20"/>
          <w:szCs w:val="20"/>
        </w:rPr>
        <w:t xml:space="preserve"> </w:t>
      </w:r>
      <w:r w:rsidR="00B04598" w:rsidRPr="00A02429">
        <w:rPr>
          <w:rFonts w:cs="Times New Roman"/>
          <w:sz w:val="20"/>
          <w:szCs w:val="20"/>
        </w:rPr>
        <w:t>«</w:t>
      </w:r>
      <w:r w:rsidRPr="00A02429">
        <w:rPr>
          <w:rFonts w:cs="Times New Roman"/>
          <w:sz w:val="20"/>
          <w:szCs w:val="20"/>
        </w:rPr>
        <w:t>Народный банк</w:t>
      </w:r>
      <w:r w:rsidR="00B04598" w:rsidRPr="00A02429">
        <w:rPr>
          <w:rFonts w:cs="Times New Roman"/>
          <w:sz w:val="20"/>
          <w:szCs w:val="20"/>
        </w:rPr>
        <w:t xml:space="preserve"> Казахстана»</w:t>
      </w:r>
      <w:r w:rsidRPr="00A02429">
        <w:rPr>
          <w:rFonts w:cs="Times New Roman"/>
          <w:sz w:val="20"/>
          <w:szCs w:val="20"/>
        </w:rPr>
        <w:t xml:space="preserve"> </w:t>
      </w:r>
      <w:r w:rsidR="005869A5" w:rsidRPr="00A02429">
        <w:rPr>
          <w:rFonts w:cs="Times New Roman"/>
          <w:sz w:val="20"/>
          <w:szCs w:val="20"/>
        </w:rPr>
        <w:t>(</w:t>
      </w:r>
      <w:r w:rsidR="00B04598" w:rsidRPr="00A02429">
        <w:rPr>
          <w:rFonts w:cs="Times New Roman"/>
          <w:sz w:val="20"/>
          <w:szCs w:val="20"/>
        </w:rPr>
        <w:t>31</w:t>
      </w:r>
      <w:r w:rsidR="00A02429" w:rsidRPr="00A02429">
        <w:rPr>
          <w:rFonts w:cs="Times New Roman"/>
          <w:sz w:val="20"/>
          <w:szCs w:val="20"/>
        </w:rPr>
        <w:t>8</w:t>
      </w:r>
      <w:r w:rsidR="005869A5" w:rsidRPr="00A02429">
        <w:rPr>
          <w:rFonts w:cs="Times New Roman"/>
          <w:sz w:val="20"/>
          <w:szCs w:val="20"/>
        </w:rPr>
        <w:t xml:space="preserve"> </w:t>
      </w:r>
      <w:r w:rsidR="00B04598" w:rsidRPr="00A02429">
        <w:rPr>
          <w:rFonts w:cs="Times New Roman"/>
          <w:sz w:val="20"/>
          <w:szCs w:val="20"/>
        </w:rPr>
        <w:t>млрд. тенге</w:t>
      </w:r>
      <w:r w:rsidRPr="00A02429">
        <w:rPr>
          <w:rFonts w:cs="Times New Roman"/>
          <w:sz w:val="20"/>
          <w:szCs w:val="20"/>
        </w:rPr>
        <w:t xml:space="preserve">, </w:t>
      </w:r>
      <w:r w:rsidR="00A02429" w:rsidRPr="00A02429">
        <w:rPr>
          <w:rFonts w:cs="Times New Roman"/>
          <w:sz w:val="20"/>
          <w:szCs w:val="20"/>
        </w:rPr>
        <w:t>44</w:t>
      </w:r>
      <w:r w:rsidRPr="00A02429">
        <w:rPr>
          <w:rFonts w:cs="Times New Roman"/>
          <w:sz w:val="20"/>
          <w:szCs w:val="20"/>
        </w:rPr>
        <w:t>% от чи</w:t>
      </w:r>
      <w:r w:rsidR="005869A5" w:rsidRPr="00A02429">
        <w:rPr>
          <w:rFonts w:cs="Times New Roman"/>
          <w:sz w:val="20"/>
          <w:szCs w:val="20"/>
        </w:rPr>
        <w:t xml:space="preserve">стой прибыли сектора), </w:t>
      </w:r>
      <w:r w:rsidR="00B04598" w:rsidRPr="00A02429">
        <w:rPr>
          <w:rFonts w:cs="Times New Roman"/>
          <w:sz w:val="20"/>
          <w:szCs w:val="20"/>
        </w:rPr>
        <w:t>АО «</w:t>
      </w:r>
      <w:r w:rsidR="005869A5" w:rsidRPr="00A02429">
        <w:rPr>
          <w:rFonts w:cs="Times New Roman"/>
          <w:sz w:val="20"/>
          <w:szCs w:val="20"/>
        </w:rPr>
        <w:t>KASPI BANK</w:t>
      </w:r>
      <w:r w:rsidR="00B04598" w:rsidRPr="00A02429">
        <w:rPr>
          <w:rFonts w:cs="Times New Roman"/>
          <w:sz w:val="20"/>
          <w:szCs w:val="20"/>
        </w:rPr>
        <w:t>»</w:t>
      </w:r>
      <w:r w:rsidR="005869A5" w:rsidRPr="00A02429">
        <w:rPr>
          <w:rFonts w:cs="Times New Roman"/>
          <w:sz w:val="20"/>
          <w:szCs w:val="20"/>
        </w:rPr>
        <w:t xml:space="preserve"> (</w:t>
      </w:r>
      <w:r w:rsidR="00A02429" w:rsidRPr="00A02429">
        <w:rPr>
          <w:rFonts w:cs="Times New Roman"/>
          <w:sz w:val="20"/>
          <w:szCs w:val="20"/>
        </w:rPr>
        <w:t>232</w:t>
      </w:r>
      <w:r w:rsidR="005869A5" w:rsidRPr="00A02429">
        <w:rPr>
          <w:rFonts w:cs="Times New Roman"/>
          <w:sz w:val="20"/>
          <w:szCs w:val="20"/>
        </w:rPr>
        <w:t xml:space="preserve"> </w:t>
      </w:r>
      <w:r w:rsidR="00B04598" w:rsidRPr="00A02429">
        <w:rPr>
          <w:rFonts w:cs="Times New Roman"/>
          <w:sz w:val="20"/>
          <w:szCs w:val="20"/>
        </w:rPr>
        <w:t>млрд. тенге</w:t>
      </w:r>
      <w:r w:rsidR="005869A5" w:rsidRPr="00A02429">
        <w:rPr>
          <w:rFonts w:cs="Times New Roman"/>
          <w:sz w:val="20"/>
          <w:szCs w:val="20"/>
        </w:rPr>
        <w:t>), Сбербанк (</w:t>
      </w:r>
      <w:r w:rsidR="00A02429" w:rsidRPr="00A02429">
        <w:rPr>
          <w:rFonts w:cs="Times New Roman"/>
          <w:sz w:val="20"/>
          <w:szCs w:val="20"/>
        </w:rPr>
        <w:t>8,3</w:t>
      </w:r>
      <w:r w:rsidRPr="00A02429">
        <w:rPr>
          <w:rFonts w:cs="Times New Roman"/>
          <w:sz w:val="20"/>
          <w:szCs w:val="20"/>
        </w:rPr>
        <w:t xml:space="preserve"> </w:t>
      </w:r>
      <w:r w:rsidR="00B04598" w:rsidRPr="00A02429">
        <w:rPr>
          <w:rFonts w:cs="Times New Roman"/>
          <w:sz w:val="20"/>
          <w:szCs w:val="20"/>
        </w:rPr>
        <w:t>млрд. тенге</w:t>
      </w:r>
      <w:r w:rsidRPr="00A02429">
        <w:rPr>
          <w:rFonts w:cs="Times New Roman"/>
          <w:sz w:val="20"/>
          <w:szCs w:val="20"/>
        </w:rPr>
        <w:t>).</w:t>
      </w:r>
      <w:r w:rsidR="005869A5" w:rsidRPr="00A02429">
        <w:rPr>
          <w:rFonts w:cs="Times New Roman"/>
          <w:sz w:val="20"/>
          <w:szCs w:val="20"/>
        </w:rPr>
        <w:t xml:space="preserve"> Чистая прибыль </w:t>
      </w:r>
      <w:r w:rsidR="00DA15E4">
        <w:rPr>
          <w:rFonts w:cs="Times New Roman"/>
          <w:sz w:val="20"/>
          <w:szCs w:val="20"/>
        </w:rPr>
        <w:t>АО «Отбасы банк»</w:t>
      </w:r>
      <w:r w:rsidR="00DA15E4" w:rsidRPr="003D5D02">
        <w:rPr>
          <w:rFonts w:cs="Times New Roman"/>
          <w:sz w:val="20"/>
          <w:szCs w:val="20"/>
        </w:rPr>
        <w:t xml:space="preserve"> </w:t>
      </w:r>
      <w:r w:rsidR="005869A5" w:rsidRPr="00A02429">
        <w:rPr>
          <w:rFonts w:cs="Times New Roman"/>
          <w:sz w:val="20"/>
          <w:szCs w:val="20"/>
        </w:rPr>
        <w:t xml:space="preserve"> составила </w:t>
      </w:r>
      <w:r w:rsidR="00A02429" w:rsidRPr="00A02429">
        <w:rPr>
          <w:rFonts w:cs="Times New Roman"/>
          <w:sz w:val="20"/>
          <w:szCs w:val="20"/>
        </w:rPr>
        <w:t>32</w:t>
      </w:r>
      <w:r w:rsidR="005869A5" w:rsidRPr="00A02429">
        <w:rPr>
          <w:rFonts w:cs="Times New Roman"/>
          <w:sz w:val="20"/>
          <w:szCs w:val="20"/>
        </w:rPr>
        <w:t xml:space="preserve"> млрд тенге.</w:t>
      </w:r>
    </w:p>
    <w:p w:rsidR="0065665A" w:rsidRPr="003D5D02" w:rsidRDefault="00C50199" w:rsidP="00853F79">
      <w:pPr>
        <w:tabs>
          <w:tab w:val="left" w:pos="284"/>
        </w:tabs>
        <w:spacing w:after="0" w:line="240" w:lineRule="auto"/>
        <w:ind w:firstLine="709"/>
        <w:jc w:val="both"/>
        <w:rPr>
          <w:rFonts w:cs="Times New Roman"/>
          <w:sz w:val="20"/>
          <w:szCs w:val="20"/>
          <w:highlight w:val="yellow"/>
        </w:rPr>
      </w:pPr>
      <w:r w:rsidRPr="00A02429">
        <w:rPr>
          <w:rFonts w:cs="Times New Roman"/>
          <w:bCs/>
          <w:sz w:val="20"/>
          <w:szCs w:val="20"/>
        </w:rPr>
        <w:t>На 01.01.20</w:t>
      </w:r>
      <w:r w:rsidR="006465F1" w:rsidRPr="00A02429">
        <w:rPr>
          <w:rFonts w:cs="Times New Roman"/>
          <w:bCs/>
          <w:sz w:val="20"/>
          <w:szCs w:val="20"/>
        </w:rPr>
        <w:t>2</w:t>
      </w:r>
      <w:r w:rsidR="00A02429" w:rsidRPr="00A02429">
        <w:rPr>
          <w:rFonts w:cs="Times New Roman"/>
          <w:bCs/>
          <w:sz w:val="20"/>
          <w:szCs w:val="20"/>
        </w:rPr>
        <w:t>1</w:t>
      </w:r>
      <w:r w:rsidRPr="00A02429">
        <w:rPr>
          <w:rFonts w:cs="Times New Roman"/>
          <w:bCs/>
          <w:sz w:val="20"/>
          <w:szCs w:val="20"/>
        </w:rPr>
        <w:t xml:space="preserve">г. на финансовом рынке РК функционировали </w:t>
      </w:r>
      <w:r w:rsidR="00A02429">
        <w:rPr>
          <w:rFonts w:cs="Times New Roman"/>
          <w:bCs/>
          <w:sz w:val="20"/>
          <w:szCs w:val="20"/>
        </w:rPr>
        <w:t>2</w:t>
      </w:r>
      <w:r w:rsidRPr="00A02429">
        <w:rPr>
          <w:rFonts w:cs="Times New Roman"/>
          <w:bCs/>
          <w:sz w:val="20"/>
          <w:szCs w:val="20"/>
        </w:rPr>
        <w:t xml:space="preserve"> ипотечные организации. </w:t>
      </w:r>
      <w:r w:rsidR="00853F79" w:rsidRPr="00A02429">
        <w:rPr>
          <w:rFonts w:cs="Times New Roman"/>
          <w:bCs/>
          <w:sz w:val="20"/>
          <w:szCs w:val="20"/>
        </w:rPr>
        <w:t>С</w:t>
      </w:r>
      <w:r w:rsidRPr="00A02429">
        <w:rPr>
          <w:rFonts w:cs="Times New Roman"/>
          <w:bCs/>
          <w:sz w:val="20"/>
          <w:szCs w:val="20"/>
        </w:rPr>
        <w:t xml:space="preserve">овокупный размер активов ипотечных организаций </w:t>
      </w:r>
      <w:r w:rsidR="00853F79" w:rsidRPr="00A02429">
        <w:rPr>
          <w:rFonts w:cs="Times New Roman"/>
          <w:bCs/>
          <w:sz w:val="20"/>
          <w:szCs w:val="20"/>
        </w:rPr>
        <w:t>на 01.01.20</w:t>
      </w:r>
      <w:r w:rsidR="006465F1" w:rsidRPr="00A02429">
        <w:rPr>
          <w:rFonts w:cs="Times New Roman"/>
          <w:bCs/>
          <w:sz w:val="20"/>
          <w:szCs w:val="20"/>
        </w:rPr>
        <w:t>2</w:t>
      </w:r>
      <w:r w:rsidR="00A02429" w:rsidRPr="00A02429">
        <w:rPr>
          <w:rFonts w:cs="Times New Roman"/>
          <w:bCs/>
          <w:sz w:val="20"/>
          <w:szCs w:val="20"/>
        </w:rPr>
        <w:t>1</w:t>
      </w:r>
      <w:r w:rsidR="00853F79" w:rsidRPr="00A02429">
        <w:rPr>
          <w:rFonts w:cs="Times New Roman"/>
          <w:bCs/>
          <w:sz w:val="20"/>
          <w:szCs w:val="20"/>
        </w:rPr>
        <w:t xml:space="preserve"> г. </w:t>
      </w:r>
      <w:r w:rsidRPr="00A02429">
        <w:rPr>
          <w:rFonts w:cs="Times New Roman"/>
          <w:bCs/>
          <w:sz w:val="20"/>
          <w:szCs w:val="20"/>
        </w:rPr>
        <w:t xml:space="preserve">составил </w:t>
      </w:r>
      <w:r w:rsidR="00A02429" w:rsidRPr="00A02429">
        <w:rPr>
          <w:rFonts w:cs="Times New Roman"/>
          <w:bCs/>
          <w:sz w:val="20"/>
          <w:szCs w:val="20"/>
        </w:rPr>
        <w:t>1362</w:t>
      </w:r>
      <w:r w:rsidRPr="00A02429">
        <w:rPr>
          <w:rFonts w:cs="Times New Roman"/>
          <w:bCs/>
          <w:sz w:val="20"/>
          <w:szCs w:val="20"/>
        </w:rPr>
        <w:t xml:space="preserve"> млрд тенге</w:t>
      </w:r>
      <w:r w:rsidRPr="00A02429">
        <w:rPr>
          <w:rFonts w:cs="Times New Roman"/>
          <w:sz w:val="20"/>
          <w:szCs w:val="20"/>
        </w:rPr>
        <w:t xml:space="preserve">, </w:t>
      </w:r>
      <w:r w:rsidR="00166A5F" w:rsidRPr="00A02429">
        <w:rPr>
          <w:rFonts w:cs="Times New Roman"/>
          <w:sz w:val="20"/>
          <w:szCs w:val="20"/>
        </w:rPr>
        <w:t xml:space="preserve">увеличение </w:t>
      </w:r>
      <w:r w:rsidRPr="00A02429">
        <w:rPr>
          <w:rFonts w:cs="Times New Roman"/>
          <w:sz w:val="20"/>
          <w:szCs w:val="20"/>
        </w:rPr>
        <w:t xml:space="preserve">с начала </w:t>
      </w:r>
      <w:r w:rsidR="00166A5F" w:rsidRPr="00A02429">
        <w:rPr>
          <w:rFonts w:cs="Times New Roman"/>
          <w:sz w:val="20"/>
          <w:szCs w:val="20"/>
        </w:rPr>
        <w:t>года</w:t>
      </w:r>
      <w:r w:rsidRPr="00A02429">
        <w:rPr>
          <w:rFonts w:cs="Times New Roman"/>
          <w:sz w:val="20"/>
          <w:szCs w:val="20"/>
        </w:rPr>
        <w:t xml:space="preserve"> </w:t>
      </w:r>
      <w:r w:rsidR="00853F79" w:rsidRPr="00A02429">
        <w:rPr>
          <w:rFonts w:cs="Times New Roman"/>
          <w:sz w:val="20"/>
          <w:szCs w:val="20"/>
        </w:rPr>
        <w:t xml:space="preserve">на </w:t>
      </w:r>
      <w:r w:rsidR="00A02429" w:rsidRPr="00A02429">
        <w:rPr>
          <w:rFonts w:cs="Times New Roman"/>
          <w:sz w:val="20"/>
          <w:szCs w:val="20"/>
        </w:rPr>
        <w:t>87</w:t>
      </w:r>
      <w:r w:rsidR="00853F79" w:rsidRPr="00A02429">
        <w:rPr>
          <w:rFonts w:cs="Times New Roman"/>
          <w:sz w:val="20"/>
          <w:szCs w:val="20"/>
        </w:rPr>
        <w:t>%</w:t>
      </w:r>
      <w:r w:rsidR="00166A5F" w:rsidRPr="00A02429">
        <w:rPr>
          <w:rFonts w:cs="Times New Roman"/>
          <w:sz w:val="20"/>
          <w:szCs w:val="20"/>
        </w:rPr>
        <w:t>.</w:t>
      </w:r>
      <w:r w:rsidR="00233844" w:rsidRPr="00A02429">
        <w:rPr>
          <w:rFonts w:cs="Times New Roman"/>
          <w:sz w:val="20"/>
          <w:szCs w:val="20"/>
        </w:rPr>
        <w:t xml:space="preserve"> (на начало 20</w:t>
      </w:r>
      <w:r w:rsidR="00A02429" w:rsidRPr="00A02429">
        <w:rPr>
          <w:rFonts w:cs="Times New Roman"/>
          <w:sz w:val="20"/>
          <w:szCs w:val="20"/>
        </w:rPr>
        <w:t>20</w:t>
      </w:r>
      <w:r w:rsidR="00233844" w:rsidRPr="00A02429">
        <w:rPr>
          <w:rFonts w:cs="Times New Roman"/>
          <w:sz w:val="20"/>
          <w:szCs w:val="20"/>
        </w:rPr>
        <w:t xml:space="preserve">г. </w:t>
      </w:r>
      <w:r w:rsidR="00A02429" w:rsidRPr="00A02429">
        <w:rPr>
          <w:rFonts w:cs="Times New Roman"/>
          <w:sz w:val="20"/>
          <w:szCs w:val="20"/>
        </w:rPr>
        <w:t>728</w:t>
      </w:r>
      <w:r w:rsidR="00233844" w:rsidRPr="00A02429">
        <w:rPr>
          <w:rFonts w:cs="Times New Roman"/>
          <w:sz w:val="20"/>
          <w:szCs w:val="20"/>
        </w:rPr>
        <w:t xml:space="preserve"> млрд. тенге)</w:t>
      </w:r>
      <w:r w:rsidR="00853F79" w:rsidRPr="00A02429">
        <w:rPr>
          <w:rFonts w:cs="Times New Roman"/>
          <w:sz w:val="20"/>
          <w:szCs w:val="20"/>
        </w:rPr>
        <w:t xml:space="preserve"> </w:t>
      </w:r>
    </w:p>
    <w:p w:rsidR="00853F79" w:rsidRPr="00D220D7" w:rsidRDefault="00853F79" w:rsidP="00A02429">
      <w:pPr>
        <w:tabs>
          <w:tab w:val="left" w:pos="284"/>
        </w:tabs>
        <w:spacing w:after="0" w:line="240" w:lineRule="auto"/>
        <w:ind w:firstLine="709"/>
        <w:jc w:val="both"/>
        <w:rPr>
          <w:rFonts w:cs="Times New Roman"/>
          <w:bCs/>
          <w:sz w:val="20"/>
          <w:szCs w:val="20"/>
        </w:rPr>
      </w:pPr>
      <w:r w:rsidRPr="00D220D7">
        <w:rPr>
          <w:rFonts w:cs="Times New Roman"/>
          <w:bCs/>
          <w:sz w:val="20"/>
          <w:szCs w:val="20"/>
        </w:rPr>
        <w:t xml:space="preserve">Займы ипотечных организаций составляют </w:t>
      </w:r>
      <w:r w:rsidR="00A02429" w:rsidRPr="00D220D7">
        <w:rPr>
          <w:rFonts w:cs="Times New Roman"/>
          <w:bCs/>
          <w:sz w:val="20"/>
          <w:szCs w:val="20"/>
        </w:rPr>
        <w:t>303</w:t>
      </w:r>
      <w:r w:rsidRPr="00D220D7">
        <w:rPr>
          <w:rFonts w:cs="Times New Roman"/>
          <w:bCs/>
          <w:sz w:val="20"/>
          <w:szCs w:val="20"/>
        </w:rPr>
        <w:t xml:space="preserve"> </w:t>
      </w:r>
      <w:r w:rsidR="0065665A" w:rsidRPr="00D220D7">
        <w:rPr>
          <w:rFonts w:cs="Times New Roman"/>
          <w:bCs/>
          <w:sz w:val="20"/>
          <w:szCs w:val="20"/>
        </w:rPr>
        <w:t>млрд. тенге</w:t>
      </w:r>
      <w:r w:rsidRPr="00D220D7">
        <w:rPr>
          <w:rFonts w:cs="Times New Roman"/>
          <w:bCs/>
          <w:sz w:val="20"/>
          <w:szCs w:val="20"/>
        </w:rPr>
        <w:t>, из них н</w:t>
      </w:r>
      <w:r w:rsidR="002638A9" w:rsidRPr="00D220D7">
        <w:rPr>
          <w:rFonts w:cs="Times New Roman"/>
          <w:bCs/>
          <w:sz w:val="20"/>
          <w:szCs w:val="20"/>
        </w:rPr>
        <w:t>аибольшую долю</w:t>
      </w:r>
      <w:r w:rsidRPr="00D220D7">
        <w:rPr>
          <w:rFonts w:cs="Times New Roman"/>
          <w:bCs/>
          <w:sz w:val="20"/>
          <w:szCs w:val="20"/>
        </w:rPr>
        <w:t xml:space="preserve"> занимают кредиты, выданные </w:t>
      </w:r>
      <w:r w:rsidR="00D220D7" w:rsidRPr="00D220D7">
        <w:rPr>
          <w:rFonts w:cs="Times New Roman"/>
          <w:bCs/>
          <w:sz w:val="20"/>
          <w:szCs w:val="20"/>
        </w:rPr>
        <w:t>АО "Ипотечная организация "Казахстанская ипотечная компания"</w:t>
      </w:r>
      <w:r w:rsidR="00A02429" w:rsidRPr="00D220D7">
        <w:rPr>
          <w:rFonts w:cs="Times New Roman"/>
          <w:bCs/>
          <w:sz w:val="20"/>
          <w:szCs w:val="20"/>
        </w:rPr>
        <w:t>302,6</w:t>
      </w:r>
      <w:r w:rsidRPr="00D220D7">
        <w:rPr>
          <w:rFonts w:cs="Times New Roman"/>
          <w:bCs/>
          <w:sz w:val="20"/>
          <w:szCs w:val="20"/>
        </w:rPr>
        <w:t xml:space="preserve"> </w:t>
      </w:r>
      <w:r w:rsidR="0065665A" w:rsidRPr="00D220D7">
        <w:rPr>
          <w:rFonts w:cs="Times New Roman"/>
          <w:bCs/>
          <w:sz w:val="20"/>
          <w:szCs w:val="20"/>
        </w:rPr>
        <w:t>млрд. тенге</w:t>
      </w:r>
      <w:r w:rsidRPr="00D220D7">
        <w:rPr>
          <w:rFonts w:cs="Times New Roman"/>
          <w:bCs/>
          <w:sz w:val="20"/>
          <w:szCs w:val="20"/>
        </w:rPr>
        <w:t>.</w:t>
      </w:r>
    </w:p>
    <w:p w:rsidR="00E03F94" w:rsidRPr="00AE7DB5" w:rsidRDefault="00E03F94" w:rsidP="00853F79">
      <w:pPr>
        <w:tabs>
          <w:tab w:val="left" w:pos="284"/>
        </w:tabs>
        <w:spacing w:after="0" w:line="240" w:lineRule="auto"/>
        <w:ind w:firstLine="709"/>
        <w:jc w:val="both"/>
        <w:rPr>
          <w:rFonts w:cs="Times New Roman"/>
          <w:bCs/>
          <w:sz w:val="20"/>
          <w:szCs w:val="20"/>
        </w:rPr>
      </w:pPr>
    </w:p>
    <w:p w:rsidR="00C50199" w:rsidRPr="00AE7DB5" w:rsidRDefault="00B86135" w:rsidP="00BB79E8">
      <w:pPr>
        <w:pStyle w:val="a3"/>
        <w:numPr>
          <w:ilvl w:val="0"/>
          <w:numId w:val="2"/>
        </w:numPr>
        <w:tabs>
          <w:tab w:val="left" w:pos="284"/>
          <w:tab w:val="left" w:pos="567"/>
        </w:tabs>
        <w:spacing w:after="0" w:line="240" w:lineRule="auto"/>
        <w:jc w:val="both"/>
        <w:rPr>
          <w:rFonts w:cs="Times New Roman"/>
          <w:b/>
          <w:color w:val="1F4E79" w:themeColor="accent1" w:themeShade="80"/>
          <w:sz w:val="20"/>
          <w:szCs w:val="20"/>
        </w:rPr>
      </w:pPr>
      <w:r w:rsidRPr="00AE7DB5">
        <w:rPr>
          <w:rFonts w:cs="Times New Roman"/>
          <w:b/>
          <w:color w:val="1F4E79" w:themeColor="accent1" w:themeShade="80"/>
          <w:sz w:val="20"/>
          <w:szCs w:val="20"/>
        </w:rPr>
        <w:t>Население</w:t>
      </w:r>
    </w:p>
    <w:p w:rsidR="00AE7DB5" w:rsidRDefault="00AE7DB5" w:rsidP="00E50DEA">
      <w:pPr>
        <w:pStyle w:val="a3"/>
        <w:tabs>
          <w:tab w:val="left" w:pos="426"/>
          <w:tab w:val="left" w:pos="567"/>
        </w:tabs>
        <w:spacing w:after="0" w:line="240" w:lineRule="auto"/>
        <w:ind w:left="0"/>
        <w:jc w:val="center"/>
        <w:rPr>
          <w:rFonts w:cs="Times New Roman"/>
          <w:b/>
          <w:sz w:val="20"/>
          <w:szCs w:val="20"/>
        </w:rPr>
      </w:pPr>
    </w:p>
    <w:p w:rsidR="00C50199" w:rsidRPr="002539DE" w:rsidRDefault="00C50199" w:rsidP="00E50DEA">
      <w:pPr>
        <w:pStyle w:val="a3"/>
        <w:tabs>
          <w:tab w:val="left" w:pos="426"/>
          <w:tab w:val="left" w:pos="567"/>
        </w:tabs>
        <w:spacing w:after="0" w:line="240" w:lineRule="auto"/>
        <w:ind w:left="0"/>
        <w:jc w:val="center"/>
        <w:rPr>
          <w:rFonts w:cs="Times New Roman"/>
          <w:b/>
          <w:sz w:val="20"/>
          <w:szCs w:val="20"/>
        </w:rPr>
      </w:pPr>
      <w:r w:rsidRPr="0088780A">
        <w:rPr>
          <w:rFonts w:cs="Times New Roman"/>
          <w:b/>
          <w:sz w:val="20"/>
          <w:szCs w:val="20"/>
        </w:rPr>
        <w:t>Демографические данные</w:t>
      </w:r>
    </w:p>
    <w:p w:rsidR="00C50199" w:rsidRPr="00AE7DB5" w:rsidRDefault="00C50199" w:rsidP="00E50DEA">
      <w:pPr>
        <w:spacing w:after="0"/>
        <w:ind w:firstLine="709"/>
        <w:jc w:val="both"/>
        <w:rPr>
          <w:rFonts w:cs="Times New Roman"/>
          <w:bCs/>
          <w:sz w:val="20"/>
          <w:szCs w:val="20"/>
        </w:rPr>
      </w:pPr>
      <w:r w:rsidRPr="00AE7DB5">
        <w:rPr>
          <w:rFonts w:cs="Times New Roman"/>
          <w:bCs/>
          <w:sz w:val="20"/>
          <w:szCs w:val="20"/>
        </w:rPr>
        <w:t xml:space="preserve">Стабильно положительный тренд сохраняется в демографических показателях, </w:t>
      </w:r>
      <w:r w:rsidR="009E05DD" w:rsidRPr="00AE7DB5">
        <w:rPr>
          <w:rFonts w:cs="Times New Roman"/>
          <w:bCs/>
          <w:sz w:val="20"/>
          <w:szCs w:val="20"/>
        </w:rPr>
        <w:t xml:space="preserve">численность населения страны на 1 </w:t>
      </w:r>
      <w:r w:rsidR="002539DE">
        <w:rPr>
          <w:rFonts w:cs="Times New Roman"/>
          <w:bCs/>
          <w:sz w:val="20"/>
          <w:szCs w:val="20"/>
        </w:rPr>
        <w:t>января</w:t>
      </w:r>
      <w:r w:rsidR="009E05DD" w:rsidRPr="00AE7DB5">
        <w:rPr>
          <w:rFonts w:cs="Times New Roman"/>
          <w:bCs/>
          <w:sz w:val="20"/>
          <w:szCs w:val="20"/>
        </w:rPr>
        <w:t xml:space="preserve"> 20</w:t>
      </w:r>
      <w:r w:rsidR="002539DE">
        <w:rPr>
          <w:rFonts w:cs="Times New Roman"/>
          <w:bCs/>
          <w:sz w:val="20"/>
          <w:szCs w:val="20"/>
        </w:rPr>
        <w:t>21 года составила 18</w:t>
      </w:r>
      <w:r w:rsidR="0088780A">
        <w:rPr>
          <w:rFonts w:cs="Times New Roman"/>
          <w:bCs/>
          <w:sz w:val="20"/>
          <w:szCs w:val="20"/>
        </w:rPr>
        <w:t xml:space="preserve"> </w:t>
      </w:r>
      <w:r w:rsidR="002539DE">
        <w:rPr>
          <w:rFonts w:cs="Times New Roman"/>
          <w:bCs/>
          <w:sz w:val="20"/>
          <w:szCs w:val="20"/>
        </w:rPr>
        <w:t>877</w:t>
      </w:r>
      <w:r w:rsidR="009E05DD" w:rsidRPr="00AE7DB5">
        <w:rPr>
          <w:rFonts w:cs="Times New Roman"/>
          <w:bCs/>
          <w:sz w:val="20"/>
          <w:szCs w:val="20"/>
        </w:rPr>
        <w:t xml:space="preserve">,1 тыс. человек, в том числе городского – </w:t>
      </w:r>
      <w:r w:rsidR="002539DE">
        <w:rPr>
          <w:rFonts w:cs="Times New Roman"/>
          <w:bCs/>
          <w:sz w:val="20"/>
          <w:szCs w:val="20"/>
        </w:rPr>
        <w:t>11</w:t>
      </w:r>
      <w:r w:rsidR="0088780A">
        <w:rPr>
          <w:rFonts w:cs="Times New Roman"/>
          <w:bCs/>
          <w:sz w:val="20"/>
          <w:szCs w:val="20"/>
        </w:rPr>
        <w:t xml:space="preserve"> </w:t>
      </w:r>
      <w:r w:rsidR="002539DE">
        <w:rPr>
          <w:rFonts w:cs="Times New Roman"/>
          <w:bCs/>
          <w:sz w:val="20"/>
          <w:szCs w:val="20"/>
        </w:rPr>
        <w:t>149</w:t>
      </w:r>
      <w:r w:rsidR="0088780A">
        <w:rPr>
          <w:rFonts w:cs="Times New Roman"/>
          <w:bCs/>
          <w:sz w:val="20"/>
          <w:szCs w:val="20"/>
        </w:rPr>
        <w:t>,7</w:t>
      </w:r>
      <w:r w:rsidR="002539DE">
        <w:rPr>
          <w:rFonts w:cs="Times New Roman"/>
          <w:bCs/>
          <w:sz w:val="20"/>
          <w:szCs w:val="20"/>
        </w:rPr>
        <w:t xml:space="preserve"> </w:t>
      </w:r>
      <w:r w:rsidR="009E05DD" w:rsidRPr="00AE7DB5">
        <w:rPr>
          <w:rFonts w:cs="Times New Roman"/>
          <w:bCs/>
          <w:sz w:val="20"/>
          <w:szCs w:val="20"/>
        </w:rPr>
        <w:t>тыс. человек (</w:t>
      </w:r>
      <w:r w:rsidR="0088780A">
        <w:rPr>
          <w:rFonts w:cs="Times New Roman"/>
          <w:bCs/>
          <w:sz w:val="20"/>
          <w:szCs w:val="20"/>
        </w:rPr>
        <w:t>59</w:t>
      </w:r>
      <w:r w:rsidR="009E05DD" w:rsidRPr="00AE7DB5">
        <w:rPr>
          <w:rFonts w:cs="Times New Roman"/>
          <w:bCs/>
          <w:sz w:val="20"/>
          <w:szCs w:val="20"/>
        </w:rPr>
        <w:t xml:space="preserve">%), сельского – </w:t>
      </w:r>
      <w:r w:rsidR="0088780A">
        <w:rPr>
          <w:rFonts w:cs="Times New Roman"/>
          <w:bCs/>
          <w:sz w:val="20"/>
          <w:szCs w:val="20"/>
        </w:rPr>
        <w:t>7 727,4</w:t>
      </w:r>
      <w:r w:rsidR="009E05DD" w:rsidRPr="00AE7DB5">
        <w:rPr>
          <w:rFonts w:cs="Times New Roman"/>
          <w:bCs/>
          <w:sz w:val="20"/>
          <w:szCs w:val="20"/>
        </w:rPr>
        <w:t xml:space="preserve"> тыс. человек (</w:t>
      </w:r>
      <w:r w:rsidR="0088780A">
        <w:rPr>
          <w:rFonts w:cs="Times New Roman"/>
          <w:bCs/>
          <w:sz w:val="20"/>
          <w:szCs w:val="20"/>
        </w:rPr>
        <w:t>40</w:t>
      </w:r>
      <w:r w:rsidR="009E05DD" w:rsidRPr="00AE7DB5">
        <w:rPr>
          <w:rFonts w:cs="Times New Roman"/>
          <w:bCs/>
          <w:sz w:val="20"/>
          <w:szCs w:val="20"/>
        </w:rPr>
        <w:t>%).</w:t>
      </w:r>
    </w:p>
    <w:p w:rsidR="009E05DD" w:rsidRPr="00AE7DB5" w:rsidRDefault="009E05DD" w:rsidP="00E50DEA">
      <w:pPr>
        <w:spacing w:after="0"/>
        <w:ind w:firstLine="709"/>
        <w:jc w:val="both"/>
        <w:rPr>
          <w:rFonts w:cs="Times New Roman"/>
          <w:bCs/>
          <w:sz w:val="20"/>
          <w:szCs w:val="20"/>
        </w:rPr>
      </w:pPr>
      <w:r w:rsidRPr="00AE7DB5">
        <w:rPr>
          <w:rFonts w:cs="Times New Roman"/>
          <w:bCs/>
          <w:sz w:val="20"/>
          <w:szCs w:val="20"/>
        </w:rPr>
        <w:t xml:space="preserve">По сравнению с 1 </w:t>
      </w:r>
      <w:r w:rsidR="0088780A">
        <w:rPr>
          <w:rFonts w:cs="Times New Roman"/>
          <w:bCs/>
          <w:sz w:val="20"/>
          <w:szCs w:val="20"/>
        </w:rPr>
        <w:t>января</w:t>
      </w:r>
      <w:r w:rsidRPr="00AE7DB5">
        <w:rPr>
          <w:rFonts w:cs="Times New Roman"/>
          <w:bCs/>
          <w:sz w:val="20"/>
          <w:szCs w:val="20"/>
        </w:rPr>
        <w:t xml:space="preserve"> 20</w:t>
      </w:r>
      <w:r w:rsidR="0088780A">
        <w:rPr>
          <w:rFonts w:cs="Times New Roman"/>
          <w:bCs/>
          <w:sz w:val="20"/>
          <w:szCs w:val="20"/>
        </w:rPr>
        <w:t>20</w:t>
      </w:r>
      <w:r w:rsidRPr="00AE7DB5">
        <w:rPr>
          <w:rFonts w:cs="Times New Roman"/>
          <w:bCs/>
          <w:sz w:val="20"/>
          <w:szCs w:val="20"/>
        </w:rPr>
        <w:t xml:space="preserve"> года численность населения увеличилась на </w:t>
      </w:r>
      <w:r w:rsidR="0088780A">
        <w:rPr>
          <w:rFonts w:cs="Times New Roman"/>
          <w:bCs/>
          <w:sz w:val="20"/>
          <w:szCs w:val="20"/>
        </w:rPr>
        <w:t>245,3</w:t>
      </w:r>
      <w:r w:rsidRPr="00AE7DB5">
        <w:rPr>
          <w:rFonts w:cs="Times New Roman"/>
          <w:bCs/>
          <w:sz w:val="20"/>
          <w:szCs w:val="20"/>
        </w:rPr>
        <w:t xml:space="preserve"> тыс. человек или 1,3%. За рассматриваемый период наибольший общий прирост наблюдался в 3 регионах страны: </w:t>
      </w:r>
      <w:r w:rsidR="0088780A" w:rsidRPr="00AE7DB5">
        <w:rPr>
          <w:rFonts w:cs="Times New Roman"/>
          <w:bCs/>
          <w:sz w:val="20"/>
          <w:szCs w:val="20"/>
        </w:rPr>
        <w:t xml:space="preserve">г. Алматы </w:t>
      </w:r>
      <w:r w:rsidRPr="00AE7DB5">
        <w:rPr>
          <w:rFonts w:cs="Times New Roman"/>
          <w:bCs/>
          <w:sz w:val="20"/>
          <w:szCs w:val="20"/>
        </w:rPr>
        <w:t>(</w:t>
      </w:r>
      <w:r w:rsidR="0088780A">
        <w:rPr>
          <w:rFonts w:cs="Times New Roman"/>
          <w:bCs/>
          <w:sz w:val="20"/>
          <w:szCs w:val="20"/>
        </w:rPr>
        <w:t>60,2</w:t>
      </w:r>
      <w:r w:rsidRPr="00AE7DB5">
        <w:rPr>
          <w:rFonts w:cs="Times New Roman"/>
          <w:bCs/>
          <w:sz w:val="20"/>
          <w:szCs w:val="20"/>
        </w:rPr>
        <w:t xml:space="preserve"> тыс. человек), </w:t>
      </w:r>
      <w:r w:rsidR="0088780A" w:rsidRPr="00AE7DB5">
        <w:rPr>
          <w:rFonts w:cs="Times New Roman"/>
          <w:bCs/>
          <w:sz w:val="20"/>
          <w:szCs w:val="20"/>
        </w:rPr>
        <w:t xml:space="preserve">г. Нур-Султан </w:t>
      </w:r>
      <w:r w:rsidRPr="00AE7DB5">
        <w:rPr>
          <w:rFonts w:cs="Times New Roman"/>
          <w:bCs/>
          <w:sz w:val="20"/>
          <w:szCs w:val="20"/>
        </w:rPr>
        <w:t>(</w:t>
      </w:r>
      <w:r w:rsidR="0088780A">
        <w:rPr>
          <w:rFonts w:cs="Times New Roman"/>
          <w:bCs/>
          <w:sz w:val="20"/>
          <w:szCs w:val="20"/>
        </w:rPr>
        <w:t>48,3</w:t>
      </w:r>
      <w:r w:rsidRPr="00AE7DB5">
        <w:rPr>
          <w:rFonts w:cs="Times New Roman"/>
          <w:bCs/>
          <w:sz w:val="20"/>
          <w:szCs w:val="20"/>
        </w:rPr>
        <w:t xml:space="preserve"> тыс. человек) и </w:t>
      </w:r>
      <w:r w:rsidR="0088780A">
        <w:rPr>
          <w:rFonts w:cs="Times New Roman"/>
          <w:bCs/>
          <w:sz w:val="20"/>
          <w:szCs w:val="20"/>
        </w:rPr>
        <w:t>Шымкент</w:t>
      </w:r>
      <w:r w:rsidRPr="00AE7DB5">
        <w:rPr>
          <w:rFonts w:cs="Times New Roman"/>
          <w:bCs/>
          <w:sz w:val="20"/>
          <w:szCs w:val="20"/>
        </w:rPr>
        <w:t xml:space="preserve"> (</w:t>
      </w:r>
      <w:r w:rsidR="0088780A">
        <w:rPr>
          <w:rFonts w:cs="Times New Roman"/>
          <w:bCs/>
          <w:sz w:val="20"/>
          <w:szCs w:val="20"/>
        </w:rPr>
        <w:t>36,0</w:t>
      </w:r>
      <w:r w:rsidRPr="00AE7DB5">
        <w:rPr>
          <w:rFonts w:cs="Times New Roman"/>
          <w:bCs/>
          <w:sz w:val="20"/>
          <w:szCs w:val="20"/>
        </w:rPr>
        <w:t xml:space="preserve"> тыс. человек).</w:t>
      </w:r>
    </w:p>
    <w:p w:rsidR="004433A1" w:rsidRPr="00AE7DB5" w:rsidRDefault="004433A1" w:rsidP="002638A9">
      <w:pPr>
        <w:pStyle w:val="a3"/>
        <w:tabs>
          <w:tab w:val="left" w:pos="426"/>
          <w:tab w:val="left" w:pos="567"/>
        </w:tabs>
        <w:spacing w:after="0" w:line="240" w:lineRule="auto"/>
        <w:ind w:left="0"/>
        <w:jc w:val="center"/>
        <w:rPr>
          <w:rFonts w:cs="Times New Roman"/>
          <w:b/>
          <w:sz w:val="20"/>
          <w:szCs w:val="20"/>
        </w:rPr>
      </w:pPr>
    </w:p>
    <w:p w:rsidR="00C50199" w:rsidRPr="00AE7DB5" w:rsidRDefault="00C50199" w:rsidP="002638A9">
      <w:pPr>
        <w:pStyle w:val="a3"/>
        <w:tabs>
          <w:tab w:val="left" w:pos="426"/>
          <w:tab w:val="left" w:pos="567"/>
        </w:tabs>
        <w:spacing w:after="0" w:line="240" w:lineRule="auto"/>
        <w:ind w:left="0"/>
        <w:jc w:val="center"/>
        <w:rPr>
          <w:rFonts w:cs="Times New Roman"/>
          <w:b/>
          <w:sz w:val="20"/>
          <w:szCs w:val="20"/>
        </w:rPr>
      </w:pPr>
      <w:r w:rsidRPr="00AE7DB5">
        <w:rPr>
          <w:rFonts w:cs="Times New Roman"/>
          <w:b/>
          <w:sz w:val="20"/>
          <w:szCs w:val="20"/>
        </w:rPr>
        <w:t>Доходы населения</w:t>
      </w:r>
      <w:r w:rsidR="007D789C" w:rsidRPr="00AE7DB5">
        <w:rPr>
          <w:rFonts w:cs="Times New Roman"/>
          <w:b/>
          <w:sz w:val="20"/>
          <w:szCs w:val="20"/>
        </w:rPr>
        <w:t xml:space="preserve"> и величина прожиточного минимума</w:t>
      </w:r>
    </w:p>
    <w:p w:rsidR="002A6FB6" w:rsidRDefault="002A6FB6" w:rsidP="002A6FB6">
      <w:pPr>
        <w:pStyle w:val="a5"/>
        <w:rPr>
          <w:rFonts w:asciiTheme="minorHAnsi" w:eastAsiaTheme="minorHAnsi" w:hAnsiTheme="minorHAnsi"/>
          <w:bCs/>
          <w:noProof w:val="0"/>
          <w:lang w:eastAsia="en-US"/>
        </w:rPr>
      </w:pPr>
      <w:r w:rsidRPr="002A6FB6">
        <w:rPr>
          <w:rFonts w:asciiTheme="minorHAnsi" w:eastAsiaTheme="minorHAnsi" w:hAnsiTheme="minorHAnsi"/>
          <w:bCs/>
          <w:noProof w:val="0"/>
          <w:lang w:eastAsia="en-US"/>
        </w:rPr>
        <w:t xml:space="preserve">Среднедушевые номинальные денежные доходы населения Республики Казахстан </w:t>
      </w:r>
      <w:r w:rsidR="00F723C9">
        <w:rPr>
          <w:rFonts w:asciiTheme="minorHAnsi" w:eastAsiaTheme="minorHAnsi" w:hAnsiTheme="minorHAnsi"/>
          <w:bCs/>
          <w:noProof w:val="0"/>
          <w:lang w:eastAsia="en-US"/>
        </w:rPr>
        <w:t>в III квартале 2020г. составили</w:t>
      </w:r>
      <w:r w:rsidRPr="002A6FB6">
        <w:rPr>
          <w:rFonts w:asciiTheme="minorHAnsi" w:eastAsiaTheme="minorHAnsi" w:hAnsiTheme="minorHAnsi"/>
          <w:bCs/>
          <w:noProof w:val="0"/>
          <w:lang w:eastAsia="en-US"/>
        </w:rPr>
        <w:t xml:space="preserve"> 112369 тенге и увеличились по сравнению с III кварталом 2019г. на 6,8%. С учетом роста цен на потребительские товары и услуги за этот период на 7%, денежные доходы населения в реальном выражении снизились на 0,2%.</w:t>
      </w:r>
    </w:p>
    <w:p w:rsidR="00272988" w:rsidRPr="007C4186" w:rsidRDefault="00272988" w:rsidP="00272988">
      <w:pPr>
        <w:pStyle w:val="ae"/>
        <w:spacing w:before="240" w:after="120"/>
        <w:rPr>
          <w:rFonts w:ascii="Calibri" w:hAnsi="Calibri"/>
          <w:lang w:val="kk-KZ"/>
        </w:rPr>
      </w:pPr>
      <w:r w:rsidRPr="007C4186">
        <w:rPr>
          <w:rFonts w:ascii="Calibri" w:hAnsi="Calibri"/>
        </w:rPr>
        <w:t xml:space="preserve">Номинальные и реальные денежные доходы населения (оценка) </w:t>
      </w:r>
    </w:p>
    <w:p w:rsidR="00272988" w:rsidRPr="007C4186" w:rsidRDefault="00272988" w:rsidP="00272988">
      <w:pPr>
        <w:pStyle w:val="a5"/>
        <w:rPr>
          <w:rFonts w:ascii="Calibri" w:hAnsi="Calibri"/>
          <w:sz w:val="6"/>
          <w:lang w:val="kk-KZ"/>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1070"/>
        <w:gridCol w:w="1134"/>
        <w:gridCol w:w="1298"/>
        <w:gridCol w:w="1011"/>
        <w:gridCol w:w="1135"/>
        <w:gridCol w:w="1162"/>
        <w:gridCol w:w="1136"/>
      </w:tblGrid>
      <w:tr w:rsidR="00272988" w:rsidRPr="007C4186" w:rsidTr="00272988">
        <w:trPr>
          <w:trHeight w:val="211"/>
        </w:trPr>
        <w:tc>
          <w:tcPr>
            <w:tcW w:w="2068" w:type="dxa"/>
            <w:vMerge w:val="restart"/>
          </w:tcPr>
          <w:p w:rsidR="00272988" w:rsidRPr="007C4186" w:rsidRDefault="00272988" w:rsidP="00D80E4C">
            <w:pPr>
              <w:pStyle w:val="a5"/>
              <w:ind w:firstLine="0"/>
              <w:rPr>
                <w:rFonts w:ascii="Calibri" w:hAnsi="Calibri"/>
                <w:sz w:val="18"/>
                <w:szCs w:val="18"/>
              </w:rPr>
            </w:pPr>
          </w:p>
        </w:tc>
        <w:tc>
          <w:tcPr>
            <w:tcW w:w="3502" w:type="dxa"/>
            <w:gridSpan w:val="3"/>
            <w:vMerge w:val="restart"/>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7"/>
                <w:szCs w:val="17"/>
              </w:rPr>
              <w:t>Среднедушевые номинальные денежные доходы населения, тенге</w:t>
            </w:r>
          </w:p>
        </w:tc>
        <w:tc>
          <w:tcPr>
            <w:tcW w:w="4444" w:type="dxa"/>
            <w:gridSpan w:val="4"/>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8"/>
                <w:szCs w:val="18"/>
              </w:rPr>
              <w:t>III</w:t>
            </w:r>
            <w:r w:rsidRPr="007C4186">
              <w:rPr>
                <w:rFonts w:ascii="Calibri" w:hAnsi="Calibri"/>
                <w:sz w:val="17"/>
                <w:szCs w:val="17"/>
              </w:rPr>
              <w:t xml:space="preserve"> квартал 20</w:t>
            </w:r>
            <w:r w:rsidRPr="007C4186">
              <w:rPr>
                <w:rFonts w:ascii="Calibri" w:hAnsi="Calibri"/>
                <w:sz w:val="17"/>
                <w:szCs w:val="17"/>
                <w:lang w:val="kk-KZ"/>
              </w:rPr>
              <w:t>20</w:t>
            </w:r>
            <w:r w:rsidRPr="007C4186">
              <w:rPr>
                <w:rFonts w:ascii="Calibri" w:hAnsi="Calibri"/>
                <w:sz w:val="17"/>
                <w:szCs w:val="17"/>
              </w:rPr>
              <w:t>г</w:t>
            </w:r>
            <w:r w:rsidRPr="007C4186">
              <w:rPr>
                <w:rFonts w:ascii="Calibri" w:hAnsi="Calibri"/>
                <w:sz w:val="17"/>
                <w:szCs w:val="17"/>
                <w:lang w:val="kk-KZ"/>
              </w:rPr>
              <w:t>.</w:t>
            </w:r>
            <w:r w:rsidRPr="007C4186">
              <w:rPr>
                <w:rFonts w:ascii="Calibri" w:hAnsi="Calibri"/>
                <w:sz w:val="17"/>
                <w:szCs w:val="17"/>
              </w:rPr>
              <w:t xml:space="preserve">, в </w:t>
            </w:r>
            <w:r w:rsidRPr="007C4186">
              <w:rPr>
                <w:rFonts w:ascii="Calibri" w:hAnsi="Calibri"/>
                <w:sz w:val="17"/>
                <w:szCs w:val="17"/>
                <w:lang w:val="kk-KZ"/>
              </w:rPr>
              <w:t xml:space="preserve">процентах </w:t>
            </w:r>
            <w:r w:rsidRPr="007C4186">
              <w:rPr>
                <w:rFonts w:ascii="Calibri" w:hAnsi="Calibri"/>
                <w:sz w:val="17"/>
                <w:szCs w:val="17"/>
              </w:rPr>
              <w:t>к</w:t>
            </w:r>
          </w:p>
        </w:tc>
      </w:tr>
      <w:tr w:rsidR="00272988" w:rsidRPr="007C4186" w:rsidTr="00272988">
        <w:trPr>
          <w:trHeight w:val="241"/>
        </w:trPr>
        <w:tc>
          <w:tcPr>
            <w:tcW w:w="2068" w:type="dxa"/>
            <w:vMerge/>
          </w:tcPr>
          <w:p w:rsidR="00272988" w:rsidRPr="007C4186" w:rsidRDefault="00272988" w:rsidP="00D80E4C">
            <w:pPr>
              <w:pStyle w:val="a5"/>
              <w:ind w:firstLine="0"/>
              <w:rPr>
                <w:rFonts w:ascii="Calibri" w:hAnsi="Calibri"/>
                <w:sz w:val="18"/>
                <w:szCs w:val="18"/>
              </w:rPr>
            </w:pPr>
          </w:p>
        </w:tc>
        <w:tc>
          <w:tcPr>
            <w:tcW w:w="3502" w:type="dxa"/>
            <w:gridSpan w:val="3"/>
            <w:vMerge/>
            <w:vAlign w:val="center"/>
          </w:tcPr>
          <w:p w:rsidR="00272988" w:rsidRPr="007C4186" w:rsidRDefault="00272988" w:rsidP="00D80E4C">
            <w:pPr>
              <w:pStyle w:val="a5"/>
              <w:ind w:firstLine="0"/>
              <w:jc w:val="center"/>
              <w:rPr>
                <w:rFonts w:ascii="Calibri" w:hAnsi="Calibri"/>
                <w:sz w:val="17"/>
                <w:szCs w:val="17"/>
              </w:rPr>
            </w:pPr>
          </w:p>
        </w:tc>
        <w:tc>
          <w:tcPr>
            <w:tcW w:w="2146" w:type="dxa"/>
            <w:gridSpan w:val="2"/>
            <w:vAlign w:val="center"/>
          </w:tcPr>
          <w:p w:rsidR="00272988" w:rsidRPr="007C4186" w:rsidRDefault="00272988" w:rsidP="00D80E4C">
            <w:pPr>
              <w:pStyle w:val="a5"/>
              <w:ind w:firstLine="0"/>
              <w:jc w:val="center"/>
              <w:rPr>
                <w:rFonts w:ascii="Calibri" w:hAnsi="Calibri"/>
                <w:sz w:val="17"/>
                <w:szCs w:val="17"/>
                <w:lang w:val="kk-KZ"/>
              </w:rPr>
            </w:pPr>
            <w:r w:rsidRPr="007C4186">
              <w:rPr>
                <w:rFonts w:ascii="Calibri" w:hAnsi="Calibri"/>
                <w:sz w:val="18"/>
                <w:szCs w:val="18"/>
              </w:rPr>
              <w:t>III</w:t>
            </w:r>
            <w:r w:rsidRPr="007C4186">
              <w:rPr>
                <w:rFonts w:ascii="Calibri" w:hAnsi="Calibri"/>
                <w:sz w:val="18"/>
                <w:szCs w:val="18"/>
                <w:lang w:val="kk-KZ"/>
              </w:rPr>
              <w:t xml:space="preserve"> </w:t>
            </w:r>
            <w:r w:rsidRPr="007C4186">
              <w:rPr>
                <w:rFonts w:ascii="Calibri" w:hAnsi="Calibri"/>
                <w:sz w:val="17"/>
                <w:szCs w:val="17"/>
              </w:rPr>
              <w:t>кварталу 201</w:t>
            </w:r>
            <w:r w:rsidRPr="007C4186">
              <w:rPr>
                <w:rFonts w:ascii="Calibri" w:hAnsi="Calibri"/>
                <w:sz w:val="17"/>
                <w:szCs w:val="17"/>
                <w:lang w:val="kk-KZ"/>
              </w:rPr>
              <w:t>9</w:t>
            </w:r>
            <w:r w:rsidRPr="007C4186">
              <w:rPr>
                <w:rFonts w:ascii="Calibri" w:hAnsi="Calibri"/>
                <w:sz w:val="17"/>
                <w:szCs w:val="17"/>
              </w:rPr>
              <w:t>г</w:t>
            </w:r>
            <w:r w:rsidRPr="007C4186">
              <w:rPr>
                <w:rFonts w:ascii="Calibri" w:hAnsi="Calibri"/>
                <w:sz w:val="17"/>
                <w:szCs w:val="17"/>
                <w:lang w:val="kk-KZ"/>
              </w:rPr>
              <w:t>.</w:t>
            </w:r>
          </w:p>
        </w:tc>
        <w:tc>
          <w:tcPr>
            <w:tcW w:w="2298" w:type="dxa"/>
            <w:gridSpan w:val="2"/>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8"/>
                <w:szCs w:val="18"/>
                <w:lang w:val="en-US"/>
              </w:rPr>
              <w:t>II</w:t>
            </w:r>
            <w:r w:rsidRPr="007C4186">
              <w:rPr>
                <w:rFonts w:ascii="Calibri" w:hAnsi="Calibri"/>
                <w:sz w:val="18"/>
                <w:szCs w:val="18"/>
                <w:lang w:val="kk-KZ"/>
              </w:rPr>
              <w:t xml:space="preserve"> </w:t>
            </w:r>
            <w:r w:rsidRPr="007C4186">
              <w:rPr>
                <w:rFonts w:ascii="Calibri" w:hAnsi="Calibri"/>
                <w:sz w:val="17"/>
                <w:szCs w:val="17"/>
              </w:rPr>
              <w:t>кварталу 2020г</w:t>
            </w:r>
            <w:r w:rsidRPr="007C4186">
              <w:rPr>
                <w:rFonts w:ascii="Calibri" w:hAnsi="Calibri"/>
                <w:sz w:val="17"/>
                <w:szCs w:val="17"/>
                <w:lang w:val="kk-KZ"/>
              </w:rPr>
              <w:t>.</w:t>
            </w:r>
          </w:p>
        </w:tc>
      </w:tr>
      <w:tr w:rsidR="00272988" w:rsidRPr="007C4186" w:rsidTr="00272988">
        <w:trPr>
          <w:trHeight w:val="437"/>
        </w:trPr>
        <w:tc>
          <w:tcPr>
            <w:tcW w:w="2068" w:type="dxa"/>
            <w:vMerge/>
          </w:tcPr>
          <w:p w:rsidR="00272988" w:rsidRPr="007C4186" w:rsidRDefault="00272988" w:rsidP="00D80E4C">
            <w:pPr>
              <w:pStyle w:val="a5"/>
              <w:ind w:firstLine="0"/>
              <w:rPr>
                <w:rFonts w:ascii="Calibri" w:hAnsi="Calibri"/>
                <w:sz w:val="18"/>
                <w:szCs w:val="18"/>
              </w:rPr>
            </w:pPr>
          </w:p>
        </w:tc>
        <w:tc>
          <w:tcPr>
            <w:tcW w:w="1070" w:type="dxa"/>
            <w:vAlign w:val="center"/>
          </w:tcPr>
          <w:p w:rsidR="00272988" w:rsidRPr="007C4186" w:rsidRDefault="00272988" w:rsidP="00D80E4C">
            <w:pPr>
              <w:pStyle w:val="a5"/>
              <w:ind w:firstLine="0"/>
              <w:jc w:val="center"/>
              <w:rPr>
                <w:rFonts w:ascii="Calibri" w:hAnsi="Calibri"/>
                <w:sz w:val="17"/>
                <w:szCs w:val="17"/>
                <w:lang w:val="kk-KZ"/>
              </w:rPr>
            </w:pPr>
            <w:r w:rsidRPr="007C4186">
              <w:rPr>
                <w:rFonts w:ascii="Calibri" w:hAnsi="Calibri"/>
                <w:sz w:val="18"/>
                <w:szCs w:val="18"/>
              </w:rPr>
              <w:t>III</w:t>
            </w:r>
            <w:r w:rsidRPr="007C4186">
              <w:rPr>
                <w:rFonts w:ascii="Calibri" w:hAnsi="Calibri"/>
                <w:sz w:val="18"/>
                <w:szCs w:val="18"/>
                <w:lang w:val="kk-KZ"/>
              </w:rPr>
              <w:t xml:space="preserve"> </w:t>
            </w:r>
            <w:r w:rsidRPr="007C4186">
              <w:rPr>
                <w:rFonts w:ascii="Calibri" w:hAnsi="Calibri"/>
                <w:sz w:val="17"/>
                <w:szCs w:val="17"/>
              </w:rPr>
              <w:t>квартал 20</w:t>
            </w:r>
            <w:r w:rsidRPr="007C4186">
              <w:rPr>
                <w:rFonts w:ascii="Calibri" w:hAnsi="Calibri"/>
                <w:sz w:val="17"/>
                <w:szCs w:val="17"/>
                <w:lang w:val="kk-KZ"/>
              </w:rPr>
              <w:t>20</w:t>
            </w:r>
            <w:r w:rsidRPr="007C4186">
              <w:rPr>
                <w:rFonts w:ascii="Calibri" w:hAnsi="Calibri"/>
                <w:sz w:val="17"/>
                <w:szCs w:val="17"/>
              </w:rPr>
              <w:t>г</w:t>
            </w:r>
            <w:r w:rsidRPr="007C4186">
              <w:rPr>
                <w:rFonts w:ascii="Calibri" w:hAnsi="Calibri"/>
                <w:sz w:val="17"/>
                <w:szCs w:val="17"/>
                <w:lang w:val="kk-KZ"/>
              </w:rPr>
              <w:t>.</w:t>
            </w:r>
          </w:p>
        </w:tc>
        <w:tc>
          <w:tcPr>
            <w:tcW w:w="1134"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8"/>
                <w:szCs w:val="18"/>
                <w:lang w:val="en-US"/>
              </w:rPr>
              <w:t xml:space="preserve">II </w:t>
            </w:r>
            <w:r w:rsidRPr="007C4186">
              <w:rPr>
                <w:rFonts w:ascii="Calibri" w:hAnsi="Calibri"/>
                <w:sz w:val="18"/>
                <w:szCs w:val="18"/>
                <w:lang w:val="kk-KZ"/>
              </w:rPr>
              <w:t xml:space="preserve"> </w:t>
            </w:r>
            <w:r w:rsidRPr="007C4186">
              <w:rPr>
                <w:rFonts w:ascii="Calibri" w:hAnsi="Calibri"/>
                <w:sz w:val="17"/>
                <w:szCs w:val="17"/>
              </w:rPr>
              <w:t>квартал 2020г</w:t>
            </w:r>
            <w:r w:rsidRPr="007C4186">
              <w:rPr>
                <w:rFonts w:ascii="Calibri" w:hAnsi="Calibri"/>
                <w:sz w:val="17"/>
                <w:szCs w:val="17"/>
                <w:lang w:val="kk-KZ"/>
              </w:rPr>
              <w:t>.</w:t>
            </w:r>
          </w:p>
        </w:tc>
        <w:tc>
          <w:tcPr>
            <w:tcW w:w="1297"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8"/>
                <w:szCs w:val="18"/>
              </w:rPr>
              <w:t>III</w:t>
            </w:r>
            <w:r w:rsidRPr="007C4186">
              <w:rPr>
                <w:rFonts w:ascii="Calibri" w:hAnsi="Calibri"/>
                <w:sz w:val="17"/>
                <w:szCs w:val="17"/>
              </w:rPr>
              <w:t xml:space="preserve"> квартал 201</w:t>
            </w:r>
            <w:r w:rsidRPr="007C4186">
              <w:rPr>
                <w:rFonts w:ascii="Calibri" w:hAnsi="Calibri"/>
                <w:sz w:val="17"/>
                <w:szCs w:val="17"/>
                <w:lang w:val="kk-KZ"/>
              </w:rPr>
              <w:t>9</w:t>
            </w:r>
            <w:r w:rsidRPr="007C4186">
              <w:rPr>
                <w:rFonts w:ascii="Calibri" w:hAnsi="Calibri"/>
                <w:sz w:val="17"/>
                <w:szCs w:val="17"/>
              </w:rPr>
              <w:t>г</w:t>
            </w:r>
            <w:r w:rsidRPr="007C4186">
              <w:rPr>
                <w:rFonts w:ascii="Calibri" w:hAnsi="Calibri"/>
                <w:sz w:val="17"/>
                <w:szCs w:val="17"/>
                <w:lang w:val="kk-KZ"/>
              </w:rPr>
              <w:t>.</w:t>
            </w:r>
          </w:p>
        </w:tc>
        <w:tc>
          <w:tcPr>
            <w:tcW w:w="1011"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7"/>
                <w:szCs w:val="17"/>
              </w:rPr>
              <w:t>номи-нальные</w:t>
            </w:r>
          </w:p>
        </w:tc>
        <w:tc>
          <w:tcPr>
            <w:tcW w:w="1134"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7"/>
                <w:szCs w:val="17"/>
              </w:rPr>
              <w:t>реальные</w:t>
            </w:r>
          </w:p>
        </w:tc>
        <w:tc>
          <w:tcPr>
            <w:tcW w:w="1162"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7"/>
                <w:szCs w:val="17"/>
              </w:rPr>
              <w:t>номи-нальные</w:t>
            </w:r>
          </w:p>
        </w:tc>
        <w:tc>
          <w:tcPr>
            <w:tcW w:w="1136" w:type="dxa"/>
            <w:vAlign w:val="center"/>
          </w:tcPr>
          <w:p w:rsidR="00272988" w:rsidRPr="007C4186" w:rsidRDefault="00272988" w:rsidP="00D80E4C">
            <w:pPr>
              <w:pStyle w:val="a5"/>
              <w:ind w:firstLine="0"/>
              <w:jc w:val="center"/>
              <w:rPr>
                <w:rFonts w:ascii="Calibri" w:hAnsi="Calibri"/>
                <w:sz w:val="17"/>
                <w:szCs w:val="17"/>
              </w:rPr>
            </w:pPr>
            <w:r w:rsidRPr="007C4186">
              <w:rPr>
                <w:rFonts w:ascii="Calibri" w:hAnsi="Calibri"/>
                <w:sz w:val="17"/>
                <w:szCs w:val="17"/>
              </w:rPr>
              <w:t>реальные</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b/>
                <w:sz w:val="17"/>
                <w:szCs w:val="17"/>
              </w:rPr>
            </w:pPr>
            <w:r w:rsidRPr="007C4186">
              <w:rPr>
                <w:rFonts w:ascii="Calibri" w:hAnsi="Calibri" w:cs="Arial"/>
                <w:b/>
                <w:sz w:val="17"/>
                <w:szCs w:val="17"/>
              </w:rPr>
              <w:t>Республика Казахстан</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112 369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111 820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105 203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106,8</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99,8</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100,5</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99,6</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Акмолинская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105 156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103 065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93 184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112,8</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105,5</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102,0</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100,9</w:t>
            </w:r>
          </w:p>
        </w:tc>
      </w:tr>
      <w:tr w:rsidR="00272988" w:rsidRPr="007C4186" w:rsidTr="00272988">
        <w:trPr>
          <w:trHeight w:val="391"/>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Актюбинская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97 096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95 470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93 987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103,3</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96,7</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101,7</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100,2</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Алматинская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88 494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80 737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82 617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107,1</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100,0</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109,6</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108,5</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Атырауская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211 564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233 190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223 910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94,5</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88,2</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90,7</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89,6</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Западно-Казахстанская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108 895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108 644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111 192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97,9</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91,6</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100,2</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99,0</w:t>
            </w:r>
          </w:p>
        </w:tc>
      </w:tr>
      <w:tr w:rsidR="00272988" w:rsidRPr="007C4186" w:rsidTr="00272988">
        <w:trPr>
          <w:trHeight w:val="391"/>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Жамбылская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81 253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79 427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72 179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112,6</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105,3</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102,3</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101,4</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Карагандинская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119 558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116 123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108 193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110,5</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103,4</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103,0</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101,9</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Костанайская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105 391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100 758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94 637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111,4</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104,3</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104,6</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103,7</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Кызылординская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83 641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86 437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77 246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108,3</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101,3</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96,8</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95,7</w:t>
            </w:r>
          </w:p>
        </w:tc>
      </w:tr>
      <w:tr w:rsidR="00272988" w:rsidRPr="007C4186" w:rsidTr="00272988">
        <w:trPr>
          <w:trHeight w:val="391"/>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Мангистауская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134 859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141 838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136 590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98,7</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91,9</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95,1</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94,1</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Павлодарская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116 511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114 828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107 125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108,8</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101,7</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101,5</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100,9</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Северо-Казахстанская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101 666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101 241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90 290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112,6</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105,2</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100,4</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99,3</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lang w:val="kk-KZ"/>
              </w:rPr>
            </w:pPr>
            <w:r w:rsidRPr="007C4186">
              <w:rPr>
                <w:rFonts w:ascii="Calibri" w:hAnsi="Calibri" w:cs="Arial"/>
                <w:sz w:val="17"/>
                <w:szCs w:val="17"/>
                <w:lang w:val="kk-KZ"/>
              </w:rPr>
              <w:t>Туркестанская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60 173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63 195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51 897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115,9</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108,5</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95,2</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94,4</w:t>
            </w:r>
          </w:p>
        </w:tc>
      </w:tr>
      <w:tr w:rsidR="00272988" w:rsidRPr="007C4186" w:rsidTr="00272988">
        <w:trPr>
          <w:trHeight w:val="391"/>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Восточно-Казахстанская</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110 452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104 972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99 268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111,3</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103,9</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105,2</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104,1</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lang w:val="kk-KZ"/>
              </w:rPr>
            </w:pPr>
            <w:r w:rsidRPr="007C4186">
              <w:rPr>
                <w:rFonts w:ascii="Calibri" w:hAnsi="Calibri" w:cs="Arial"/>
                <w:sz w:val="17"/>
                <w:szCs w:val="17"/>
              </w:rPr>
              <w:t xml:space="preserve">г. </w:t>
            </w:r>
            <w:r w:rsidRPr="007C4186">
              <w:rPr>
                <w:rFonts w:ascii="Calibri" w:hAnsi="Calibri" w:cs="Arial"/>
                <w:sz w:val="17"/>
                <w:szCs w:val="17"/>
                <w:lang w:val="kk-KZ"/>
              </w:rPr>
              <w:t>Нур-Султан</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166 110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158 624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166 888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99,5</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92,1</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104,7</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104,5</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sz w:val="17"/>
                <w:szCs w:val="17"/>
              </w:rPr>
            </w:pPr>
            <w:r w:rsidRPr="007C4186">
              <w:rPr>
                <w:rFonts w:ascii="Calibri" w:hAnsi="Calibri" w:cs="Arial"/>
                <w:sz w:val="17"/>
                <w:szCs w:val="17"/>
              </w:rPr>
              <w:t>г. Алматы</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158 434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158 446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148 618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106,6</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99,7</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100,0</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99,3</w:t>
            </w:r>
          </w:p>
        </w:tc>
      </w:tr>
      <w:tr w:rsidR="00272988" w:rsidRPr="007C4186" w:rsidTr="00272988">
        <w:trPr>
          <w:trHeight w:val="391"/>
        </w:trPr>
        <w:tc>
          <w:tcPr>
            <w:tcW w:w="2068" w:type="dxa"/>
            <w:vAlign w:val="bottom"/>
          </w:tcPr>
          <w:p w:rsidR="00272988" w:rsidRPr="007C4186" w:rsidRDefault="00272988" w:rsidP="00D80E4C">
            <w:pPr>
              <w:rPr>
                <w:rFonts w:ascii="Calibri" w:hAnsi="Calibri" w:cs="Arial"/>
                <w:sz w:val="17"/>
                <w:szCs w:val="17"/>
                <w:lang w:val="kk-KZ"/>
              </w:rPr>
            </w:pPr>
            <w:r w:rsidRPr="007C4186">
              <w:rPr>
                <w:rFonts w:ascii="Calibri" w:hAnsi="Calibri" w:cs="Arial"/>
                <w:sz w:val="17"/>
                <w:szCs w:val="17"/>
              </w:rPr>
              <w:t>г.</w:t>
            </w:r>
            <w:r w:rsidRPr="007C4186">
              <w:rPr>
                <w:rFonts w:ascii="Calibri" w:hAnsi="Calibri" w:cs="Arial"/>
                <w:sz w:val="17"/>
                <w:szCs w:val="17"/>
                <w:lang w:val="kk-KZ"/>
              </w:rPr>
              <w:t>Шымкент</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72 664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71 473 </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69 795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104,1</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97,6</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101,7</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101,0</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b/>
                <w:sz w:val="17"/>
                <w:szCs w:val="17"/>
                <w:lang w:val="en-US"/>
              </w:rPr>
            </w:pPr>
            <w:r w:rsidRPr="007C4186">
              <w:rPr>
                <w:rFonts w:ascii="Calibri" w:hAnsi="Calibri" w:cs="Arial"/>
                <w:b/>
                <w:sz w:val="17"/>
                <w:szCs w:val="17"/>
                <w:lang w:val="en-US"/>
              </w:rPr>
              <w:t>Max</w:t>
            </w:r>
          </w:p>
        </w:tc>
        <w:tc>
          <w:tcPr>
            <w:tcW w:w="1070"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2</w:t>
            </w:r>
            <w:r w:rsidRPr="00D47274">
              <w:rPr>
                <w:rFonts w:ascii="Calibri" w:hAnsi="Calibri"/>
                <w:bCs/>
                <w:sz w:val="16"/>
                <w:szCs w:val="16"/>
                <w:lang w:val="kk-KZ"/>
              </w:rPr>
              <w:t>11</w:t>
            </w:r>
            <w:r w:rsidRPr="00D47274">
              <w:rPr>
                <w:rFonts w:ascii="Calibri" w:hAnsi="Calibri"/>
                <w:bCs/>
                <w:sz w:val="16"/>
                <w:szCs w:val="16"/>
              </w:rPr>
              <w:t xml:space="preserve"> </w:t>
            </w:r>
            <w:r w:rsidRPr="00D47274">
              <w:rPr>
                <w:rFonts w:ascii="Calibri" w:hAnsi="Calibri"/>
                <w:bCs/>
                <w:sz w:val="16"/>
                <w:szCs w:val="16"/>
                <w:lang w:val="kk-KZ"/>
              </w:rPr>
              <w:t>564</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w:t>
            </w:r>
            <w:r w:rsidRPr="00D47274">
              <w:rPr>
                <w:rFonts w:ascii="Calibri" w:hAnsi="Calibri"/>
                <w:sz w:val="16"/>
                <w:szCs w:val="16"/>
              </w:rPr>
              <w:t>233 190</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w:t>
            </w:r>
            <w:r w:rsidRPr="00D47274">
              <w:rPr>
                <w:rFonts w:ascii="Calibri" w:hAnsi="Calibri" w:cs="Arial CYR"/>
                <w:sz w:val="16"/>
                <w:szCs w:val="16"/>
              </w:rPr>
              <w:t xml:space="preserve">        223 910   </w:t>
            </w:r>
          </w:p>
        </w:tc>
        <w:tc>
          <w:tcPr>
            <w:tcW w:w="1011"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115,9</w:t>
            </w:r>
          </w:p>
        </w:tc>
        <w:tc>
          <w:tcPr>
            <w:tcW w:w="1134" w:type="dxa"/>
            <w:vAlign w:val="bottom"/>
          </w:tcPr>
          <w:p w:rsidR="00272988" w:rsidRPr="00D47274" w:rsidRDefault="00272988" w:rsidP="00D80E4C">
            <w:pPr>
              <w:jc w:val="right"/>
              <w:rPr>
                <w:rFonts w:ascii="Calibri" w:hAnsi="Calibri"/>
                <w:bCs/>
                <w:sz w:val="16"/>
                <w:szCs w:val="16"/>
                <w:lang w:val="en-US"/>
              </w:rPr>
            </w:pPr>
            <w:r w:rsidRPr="00D47274">
              <w:rPr>
                <w:rFonts w:ascii="Calibri" w:hAnsi="Calibri"/>
                <w:bCs/>
                <w:sz w:val="16"/>
                <w:szCs w:val="16"/>
                <w:lang w:val="kk-KZ"/>
              </w:rPr>
              <w:t>108,5</w:t>
            </w:r>
          </w:p>
        </w:tc>
        <w:tc>
          <w:tcPr>
            <w:tcW w:w="1162"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109,6</w:t>
            </w:r>
          </w:p>
        </w:tc>
        <w:tc>
          <w:tcPr>
            <w:tcW w:w="1136"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108,5</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b/>
                <w:sz w:val="17"/>
                <w:szCs w:val="17"/>
                <w:lang w:val="en-US"/>
              </w:rPr>
            </w:pPr>
            <w:r w:rsidRPr="007C4186">
              <w:rPr>
                <w:rFonts w:ascii="Calibri" w:hAnsi="Calibri" w:cs="Arial"/>
                <w:b/>
                <w:sz w:val="17"/>
                <w:szCs w:val="17"/>
                <w:lang w:val="en-US"/>
              </w:rPr>
              <w:t>Min</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6</w:t>
            </w:r>
            <w:r w:rsidRPr="00D47274">
              <w:rPr>
                <w:rFonts w:ascii="Calibri" w:hAnsi="Calibri"/>
                <w:bCs/>
                <w:sz w:val="16"/>
                <w:szCs w:val="16"/>
                <w:lang w:val="kk-KZ"/>
              </w:rPr>
              <w:t>0</w:t>
            </w:r>
            <w:r w:rsidRPr="00D47274">
              <w:rPr>
                <w:rFonts w:ascii="Calibri" w:hAnsi="Calibri"/>
                <w:bCs/>
                <w:sz w:val="16"/>
                <w:szCs w:val="16"/>
              </w:rPr>
              <w:t xml:space="preserve"> </w:t>
            </w:r>
            <w:r w:rsidRPr="00D47274">
              <w:rPr>
                <w:rFonts w:ascii="Calibri" w:hAnsi="Calibri"/>
                <w:bCs/>
                <w:sz w:val="16"/>
                <w:szCs w:val="16"/>
                <w:lang w:val="kk-KZ"/>
              </w:rPr>
              <w:t>173</w:t>
            </w:r>
            <w:r w:rsidRPr="00D47274">
              <w:rPr>
                <w:rFonts w:ascii="Calibri" w:hAnsi="Calibri"/>
                <w:bCs/>
                <w:sz w:val="16"/>
                <w:szCs w:val="16"/>
              </w:rPr>
              <w:t xml:space="preserve">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63 195</w:t>
            </w:r>
          </w:p>
        </w:tc>
        <w:tc>
          <w:tcPr>
            <w:tcW w:w="1297"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w:t>
            </w:r>
            <w:r w:rsidRPr="00D47274">
              <w:rPr>
                <w:rFonts w:ascii="Calibri" w:hAnsi="Calibri" w:cs="Arial CYR"/>
                <w:sz w:val="16"/>
                <w:szCs w:val="16"/>
              </w:rPr>
              <w:t xml:space="preserve">51 897   </w:t>
            </w:r>
          </w:p>
        </w:tc>
        <w:tc>
          <w:tcPr>
            <w:tcW w:w="1011"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94,5</w:t>
            </w:r>
          </w:p>
        </w:tc>
        <w:tc>
          <w:tcPr>
            <w:tcW w:w="1134"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88,2</w:t>
            </w:r>
          </w:p>
        </w:tc>
        <w:tc>
          <w:tcPr>
            <w:tcW w:w="1162"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90,7</w:t>
            </w:r>
          </w:p>
        </w:tc>
        <w:tc>
          <w:tcPr>
            <w:tcW w:w="1136"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89,6</w:t>
            </w:r>
          </w:p>
        </w:tc>
      </w:tr>
      <w:tr w:rsidR="00272988" w:rsidRPr="007C4186" w:rsidTr="00272988">
        <w:trPr>
          <w:trHeight w:val="376"/>
        </w:trPr>
        <w:tc>
          <w:tcPr>
            <w:tcW w:w="2068" w:type="dxa"/>
            <w:vAlign w:val="bottom"/>
          </w:tcPr>
          <w:p w:rsidR="00272988" w:rsidRPr="007C4186" w:rsidRDefault="00272988" w:rsidP="00D80E4C">
            <w:pPr>
              <w:rPr>
                <w:rFonts w:ascii="Calibri" w:hAnsi="Calibri" w:cs="Arial"/>
                <w:b/>
                <w:sz w:val="17"/>
                <w:szCs w:val="17"/>
              </w:rPr>
            </w:pPr>
            <w:r w:rsidRPr="007C4186">
              <w:rPr>
                <w:rFonts w:ascii="Calibri" w:hAnsi="Calibri" w:cs="Arial"/>
                <w:b/>
                <w:sz w:val="17"/>
                <w:szCs w:val="17"/>
                <w:lang w:val="en-US"/>
              </w:rPr>
              <w:t>Max</w:t>
            </w:r>
            <w:r w:rsidRPr="007C4186">
              <w:rPr>
                <w:rFonts w:ascii="Calibri" w:hAnsi="Calibri" w:cs="Arial"/>
                <w:b/>
                <w:sz w:val="17"/>
                <w:szCs w:val="17"/>
              </w:rPr>
              <w:t xml:space="preserve"> /</w:t>
            </w:r>
            <w:r w:rsidRPr="007C4186">
              <w:rPr>
                <w:rFonts w:ascii="Calibri" w:hAnsi="Calibri" w:cs="Arial"/>
                <w:b/>
                <w:sz w:val="17"/>
                <w:szCs w:val="17"/>
                <w:lang w:val="en-US"/>
              </w:rPr>
              <w:t>Min</w:t>
            </w:r>
            <w:r w:rsidRPr="007C4186">
              <w:rPr>
                <w:rFonts w:ascii="Calibri" w:hAnsi="Calibri" w:cs="Arial"/>
                <w:b/>
                <w:sz w:val="17"/>
                <w:szCs w:val="17"/>
              </w:rPr>
              <w:t>, раз</w:t>
            </w:r>
          </w:p>
        </w:tc>
        <w:tc>
          <w:tcPr>
            <w:tcW w:w="1070"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3,5</w:t>
            </w:r>
          </w:p>
        </w:tc>
        <w:tc>
          <w:tcPr>
            <w:tcW w:w="1134"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3,7</w:t>
            </w:r>
          </w:p>
        </w:tc>
        <w:tc>
          <w:tcPr>
            <w:tcW w:w="1297"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4,3</w:t>
            </w:r>
          </w:p>
        </w:tc>
        <w:tc>
          <w:tcPr>
            <w:tcW w:w="1011"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34"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62"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36"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r>
    </w:tbl>
    <w:p w:rsidR="00272988" w:rsidRPr="007C4186" w:rsidRDefault="00272988" w:rsidP="00272988">
      <w:pPr>
        <w:pStyle w:val="a5"/>
        <w:rPr>
          <w:rFonts w:ascii="Calibri" w:hAnsi="Calibri"/>
          <w:lang w:val="kk-KZ"/>
        </w:rPr>
      </w:pPr>
    </w:p>
    <w:p w:rsidR="002A6FB6" w:rsidRPr="002A6FB6" w:rsidRDefault="002A6FB6" w:rsidP="002A6FB6">
      <w:pPr>
        <w:pStyle w:val="a5"/>
        <w:rPr>
          <w:rFonts w:asciiTheme="minorHAnsi" w:eastAsiaTheme="minorHAnsi" w:hAnsiTheme="minorHAnsi"/>
          <w:bCs/>
          <w:noProof w:val="0"/>
          <w:lang w:eastAsia="en-US"/>
        </w:rPr>
      </w:pPr>
      <w:r w:rsidRPr="002A6FB6">
        <w:rPr>
          <w:rFonts w:asciiTheme="minorHAnsi" w:eastAsiaTheme="minorHAnsi" w:hAnsiTheme="minorHAnsi"/>
          <w:bCs/>
          <w:noProof w:val="0"/>
          <w:lang w:eastAsia="en-US"/>
        </w:rPr>
        <w:t>Максимальное значение среднедушевых номинальных денежных доходов населения в III квартале 2020г. зафиксировано в Атырауской области, где показатель превысил среднереспубликанский уровень почти в 2 раза. Регионом с самым низким доходом остается Туркестанская область, величина доходов населения которой составляет  54% от республиканского уровня. Разница между максимальным и минимальным значениями среднедушевых номинальных денежных доходов населения среди регионов в III квартале 2020г. составила 3,5 раза (в III квартале 2019г. – 4,3 раза).</w:t>
      </w:r>
    </w:p>
    <w:p w:rsidR="00AF1D0C" w:rsidRPr="00AF1D0C" w:rsidRDefault="00AF1D0C" w:rsidP="00AF1D0C">
      <w:pPr>
        <w:pStyle w:val="a5"/>
        <w:rPr>
          <w:rFonts w:asciiTheme="minorHAnsi" w:eastAsiaTheme="minorHAnsi" w:hAnsiTheme="minorHAnsi"/>
          <w:bCs/>
          <w:noProof w:val="0"/>
          <w:lang w:eastAsia="en-US"/>
        </w:rPr>
      </w:pPr>
      <w:r w:rsidRPr="00AF1D0C">
        <w:rPr>
          <w:rFonts w:asciiTheme="minorHAnsi" w:eastAsiaTheme="minorHAnsi" w:hAnsiTheme="minorHAnsi"/>
          <w:bCs/>
          <w:noProof w:val="0"/>
          <w:lang w:eastAsia="en-US"/>
        </w:rPr>
        <w:t xml:space="preserve">Соотношение между среднереспубликанскими значениями величины прожиточного минимума и среднедушевых номинальных денежных доходов населения в III квартале 2020г. составило 3,2 раза (в III квартале 2019г. – 3,4 раза). </w:t>
      </w:r>
    </w:p>
    <w:p w:rsidR="00AF1D0C" w:rsidRDefault="00AF1D0C" w:rsidP="00646484">
      <w:pPr>
        <w:pStyle w:val="a5"/>
        <w:rPr>
          <w:rFonts w:asciiTheme="minorHAnsi" w:eastAsiaTheme="minorHAnsi" w:hAnsiTheme="minorHAnsi"/>
          <w:bCs/>
          <w:noProof w:val="0"/>
          <w:lang w:eastAsia="en-US"/>
        </w:rPr>
      </w:pPr>
      <w:r w:rsidRPr="00AF1D0C">
        <w:rPr>
          <w:rFonts w:asciiTheme="minorHAnsi" w:eastAsiaTheme="minorHAnsi" w:hAnsiTheme="minorHAnsi"/>
          <w:bCs/>
          <w:noProof w:val="0"/>
          <w:lang w:eastAsia="en-US"/>
        </w:rPr>
        <w:t>По данным обследования домашних хозяйств денежные расходы населения в среднем на душу за III квартал 2020 года составили 179472 тенге, что на 4,8% выше, чем в соответствующем квартале предыдущего года.</w:t>
      </w:r>
    </w:p>
    <w:p w:rsidR="00AF1D0C" w:rsidRDefault="00AF1D0C" w:rsidP="00646484">
      <w:pPr>
        <w:pStyle w:val="a5"/>
        <w:rPr>
          <w:rFonts w:asciiTheme="minorHAnsi" w:eastAsiaTheme="minorHAnsi" w:hAnsiTheme="minorHAnsi"/>
          <w:bCs/>
          <w:noProof w:val="0"/>
          <w:lang w:eastAsia="en-US"/>
        </w:rPr>
      </w:pPr>
      <w:r w:rsidRPr="00AF1D0C">
        <w:rPr>
          <w:rFonts w:asciiTheme="minorHAnsi" w:eastAsiaTheme="minorHAnsi" w:hAnsiTheme="minorHAnsi"/>
          <w:bCs/>
          <w:noProof w:val="0"/>
          <w:lang w:eastAsia="en-US"/>
        </w:rPr>
        <w:t>В региональном разрезе наибольший размер среднедушевых денежных расходов приходится на город Алматы – 255084 тенге, что в 1,4 раза превышает среднереспубликанский уровень. Самый низкий уровень среднедушевых денежных расходов зафиксирован в Туркестанской области – 112323 тенге, что в 1,6 раза ниже уровня по стране.</w:t>
      </w:r>
    </w:p>
    <w:p w:rsidR="00AF1D0C" w:rsidRDefault="00AF1D0C" w:rsidP="00646484">
      <w:pPr>
        <w:pStyle w:val="a5"/>
        <w:rPr>
          <w:rFonts w:asciiTheme="minorHAnsi" w:eastAsiaTheme="minorHAnsi" w:hAnsiTheme="minorHAnsi"/>
          <w:bCs/>
          <w:noProof w:val="0"/>
          <w:lang w:eastAsia="en-US"/>
        </w:rPr>
      </w:pPr>
      <w:r w:rsidRPr="00AF1D0C">
        <w:rPr>
          <w:rFonts w:asciiTheme="minorHAnsi" w:eastAsiaTheme="minorHAnsi" w:hAnsiTheme="minorHAnsi"/>
          <w:bCs/>
          <w:noProof w:val="0"/>
          <w:lang w:eastAsia="en-US"/>
        </w:rPr>
        <w:t>Доход, использованный на потребление, в среднем на душу за III квартал 2020 года составил 183875 тенге, что на 7,1% выше, чем в соответствующем квартале предыдущего года. Рассматривая региональный аспект, наибольший рост доходов можно отметить в Павлодарской и Карагандинской областях. В числе регионов с самым низким уровнем доходов, использованных на потребление, оказалася город Шымкент. Уровень дохода в этом регионе ниже среднереспубликанского уровня в 1,4 раза.</w:t>
      </w:r>
    </w:p>
    <w:p w:rsidR="00AF1D0C" w:rsidRDefault="00AF1D0C" w:rsidP="00D651D6">
      <w:pPr>
        <w:pStyle w:val="af5"/>
        <w:spacing w:before="0"/>
        <w:ind w:firstLine="708"/>
        <w:rPr>
          <w:rFonts w:ascii="Calibri" w:hAnsi="Calibri" w:cs="Arial"/>
          <w:sz w:val="20"/>
        </w:rPr>
      </w:pPr>
      <w:r>
        <w:rPr>
          <w:rFonts w:ascii="Calibri" w:hAnsi="Calibri"/>
          <w:sz w:val="20"/>
        </w:rPr>
        <w:t>Ч</w:t>
      </w:r>
      <w:r w:rsidRPr="0002118A">
        <w:rPr>
          <w:rFonts w:ascii="Calibri" w:hAnsi="Calibri"/>
          <w:sz w:val="20"/>
        </w:rPr>
        <w:t xml:space="preserve">исленность рабочей силы в возрасте 15 лет и старше в </w:t>
      </w:r>
      <w:r w:rsidRPr="0002118A">
        <w:rPr>
          <w:rFonts w:ascii="Calibri" w:hAnsi="Calibri"/>
          <w:sz w:val="20"/>
          <w:lang w:val="en-US"/>
        </w:rPr>
        <w:t>II</w:t>
      </w:r>
      <w:r>
        <w:rPr>
          <w:rFonts w:ascii="Calibri" w:hAnsi="Calibri"/>
          <w:sz w:val="20"/>
          <w:lang w:val="en-US"/>
        </w:rPr>
        <w:t>I</w:t>
      </w:r>
      <w:r w:rsidRPr="0002118A">
        <w:rPr>
          <w:rFonts w:ascii="Calibri" w:hAnsi="Calibri"/>
          <w:sz w:val="20"/>
        </w:rPr>
        <w:t xml:space="preserve"> квартале 20</w:t>
      </w:r>
      <w:r>
        <w:rPr>
          <w:rFonts w:ascii="Calibri" w:hAnsi="Calibri"/>
          <w:sz w:val="20"/>
        </w:rPr>
        <w:t>20</w:t>
      </w:r>
      <w:r w:rsidRPr="0002118A">
        <w:rPr>
          <w:rFonts w:ascii="Calibri" w:hAnsi="Calibri"/>
          <w:sz w:val="20"/>
        </w:rPr>
        <w:t xml:space="preserve"> года </w:t>
      </w:r>
      <w:r>
        <w:rPr>
          <w:rFonts w:ascii="Calibri" w:hAnsi="Calibri"/>
          <w:sz w:val="20"/>
        </w:rPr>
        <w:t>по итогам выборочного обследования занятости населения</w:t>
      </w:r>
      <w:r w:rsidRPr="0002118A">
        <w:rPr>
          <w:rFonts w:ascii="Calibri" w:hAnsi="Calibri"/>
          <w:sz w:val="20"/>
        </w:rPr>
        <w:t xml:space="preserve"> </w:t>
      </w:r>
      <w:r w:rsidRPr="00784378">
        <w:rPr>
          <w:rFonts w:ascii="Calibri" w:hAnsi="Calibri"/>
          <w:sz w:val="20"/>
        </w:rPr>
        <w:t xml:space="preserve">составила </w:t>
      </w:r>
      <w:r w:rsidRPr="00784378">
        <w:rPr>
          <w:rFonts w:ascii="Calibri" w:hAnsi="Calibri"/>
          <w:sz w:val="20"/>
          <w:lang w:val="kk-KZ"/>
        </w:rPr>
        <w:t>9</w:t>
      </w:r>
      <w:r w:rsidRPr="00784378">
        <w:rPr>
          <w:rFonts w:ascii="Calibri" w:hAnsi="Calibri"/>
          <w:sz w:val="20"/>
        </w:rPr>
        <w:t>,</w:t>
      </w:r>
      <w:r w:rsidRPr="00784378">
        <w:rPr>
          <w:rFonts w:ascii="Calibri" w:hAnsi="Calibri"/>
          <w:sz w:val="20"/>
          <w:lang w:val="kk-KZ"/>
        </w:rPr>
        <w:t>2</w:t>
      </w:r>
      <w:r w:rsidRPr="00784378">
        <w:rPr>
          <w:rFonts w:ascii="Calibri" w:hAnsi="Calibri"/>
          <w:sz w:val="20"/>
        </w:rPr>
        <w:t xml:space="preserve"> млн. человек. В экономике республики были заняты 8,</w:t>
      </w:r>
      <w:r w:rsidRPr="009B62C2">
        <w:rPr>
          <w:rFonts w:ascii="Calibri" w:hAnsi="Calibri"/>
          <w:sz w:val="20"/>
        </w:rPr>
        <w:t>7</w:t>
      </w:r>
      <w:r w:rsidRPr="00784378">
        <w:rPr>
          <w:rFonts w:ascii="Calibri" w:hAnsi="Calibri"/>
          <w:sz w:val="20"/>
        </w:rPr>
        <w:t xml:space="preserve"> млн.</w:t>
      </w:r>
      <w:r w:rsidRPr="0002118A">
        <w:rPr>
          <w:rFonts w:ascii="Calibri" w:hAnsi="Calibri"/>
          <w:sz w:val="20"/>
        </w:rPr>
        <w:t xml:space="preserve"> человек</w:t>
      </w:r>
      <w:r>
        <w:rPr>
          <w:rFonts w:ascii="Calibri" w:hAnsi="Calibri"/>
          <w:sz w:val="20"/>
        </w:rPr>
        <w:t>.</w:t>
      </w:r>
      <w:r w:rsidRPr="0002118A">
        <w:rPr>
          <w:rFonts w:ascii="Calibri" w:hAnsi="Calibri"/>
          <w:sz w:val="20"/>
        </w:rPr>
        <w:t xml:space="preserve"> </w:t>
      </w:r>
      <w:r w:rsidRPr="0002118A">
        <w:rPr>
          <w:rFonts w:ascii="Calibri" w:hAnsi="Calibri" w:cs="Arial"/>
          <w:sz w:val="20"/>
        </w:rPr>
        <w:t xml:space="preserve">Уровень занятости к населению в возрасте 15 лет и старше </w:t>
      </w:r>
      <w:r w:rsidRPr="00C3182F">
        <w:rPr>
          <w:rFonts w:ascii="Calibri" w:hAnsi="Calibri" w:cs="Arial"/>
          <w:sz w:val="20"/>
        </w:rPr>
        <w:t xml:space="preserve">составил </w:t>
      </w:r>
      <w:r w:rsidRPr="00C3182F">
        <w:rPr>
          <w:rFonts w:ascii="Calibri" w:hAnsi="Calibri" w:cs="Arial"/>
          <w:sz w:val="20"/>
          <w:lang w:val="kk-KZ"/>
        </w:rPr>
        <w:t>6</w:t>
      </w:r>
      <w:r w:rsidRPr="009B62C2">
        <w:rPr>
          <w:rFonts w:ascii="Calibri" w:hAnsi="Calibri" w:cs="Arial"/>
          <w:sz w:val="20"/>
        </w:rPr>
        <w:t>5</w:t>
      </w:r>
      <w:r w:rsidRPr="00C3182F">
        <w:rPr>
          <w:rFonts w:ascii="Calibri" w:hAnsi="Calibri" w:cs="Arial"/>
          <w:sz w:val="20"/>
          <w:lang w:val="kk-KZ"/>
        </w:rPr>
        <w:t>,</w:t>
      </w:r>
      <w:r w:rsidRPr="00F2408E">
        <w:rPr>
          <w:rFonts w:ascii="Calibri" w:hAnsi="Calibri" w:cs="Arial"/>
          <w:sz w:val="20"/>
        </w:rPr>
        <w:t>8</w:t>
      </w:r>
      <w:r w:rsidRPr="00C3182F">
        <w:rPr>
          <w:rFonts w:ascii="Calibri" w:hAnsi="Calibri" w:cs="Arial"/>
          <w:sz w:val="20"/>
        </w:rPr>
        <w:t>%</w:t>
      </w:r>
      <w:r w:rsidRPr="0081205B">
        <w:rPr>
          <w:rFonts w:ascii="Calibri" w:hAnsi="Calibri" w:cs="Arial"/>
          <w:sz w:val="20"/>
        </w:rPr>
        <w:t>.</w:t>
      </w:r>
      <w:r w:rsidRPr="0002118A">
        <w:rPr>
          <w:rFonts w:ascii="Calibri" w:hAnsi="Calibri" w:cs="Arial"/>
          <w:sz w:val="20"/>
        </w:rPr>
        <w:t xml:space="preserve"> </w:t>
      </w:r>
      <w:r>
        <w:rPr>
          <w:rFonts w:ascii="Calibri" w:hAnsi="Calibri" w:cs="Arial"/>
          <w:sz w:val="20"/>
        </w:rPr>
        <w:t>Численность безработных составила 4</w:t>
      </w:r>
      <w:r w:rsidRPr="00AE78D2">
        <w:rPr>
          <w:rFonts w:ascii="Calibri" w:hAnsi="Calibri" w:cs="Arial"/>
          <w:sz w:val="20"/>
        </w:rPr>
        <w:t>54</w:t>
      </w:r>
      <w:r>
        <w:rPr>
          <w:rFonts w:ascii="Calibri" w:hAnsi="Calibri" w:cs="Arial"/>
          <w:sz w:val="20"/>
        </w:rPr>
        <w:t>,8</w:t>
      </w:r>
      <w:r w:rsidRPr="00AE78D2">
        <w:rPr>
          <w:rFonts w:ascii="Calibri" w:hAnsi="Calibri" w:cs="Arial"/>
          <w:sz w:val="20"/>
        </w:rPr>
        <w:t xml:space="preserve"> </w:t>
      </w:r>
      <w:r>
        <w:rPr>
          <w:rFonts w:ascii="Calibri" w:hAnsi="Calibri" w:cs="Arial"/>
          <w:sz w:val="20"/>
        </w:rPr>
        <w:t xml:space="preserve">тыс. человек, уровень безработицы - </w:t>
      </w:r>
      <w:r w:rsidRPr="00AE78D2">
        <w:rPr>
          <w:rFonts w:ascii="Calibri" w:hAnsi="Calibri" w:cs="Arial"/>
          <w:sz w:val="20"/>
        </w:rPr>
        <w:t>5</w:t>
      </w:r>
      <w:r>
        <w:rPr>
          <w:rFonts w:ascii="Calibri" w:hAnsi="Calibri" w:cs="Arial"/>
          <w:sz w:val="20"/>
        </w:rPr>
        <w:t>%.</w:t>
      </w:r>
    </w:p>
    <w:p w:rsidR="00272988" w:rsidRDefault="00272988" w:rsidP="00D651D6">
      <w:pPr>
        <w:pStyle w:val="af5"/>
        <w:spacing w:before="0"/>
        <w:ind w:firstLine="708"/>
        <w:rPr>
          <w:rFonts w:ascii="Calibri" w:hAnsi="Calibri" w:cs="Arial"/>
          <w:sz w:val="20"/>
          <w:lang w:val="kk-KZ"/>
        </w:rPr>
      </w:pP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7"/>
        <w:gridCol w:w="993"/>
        <w:gridCol w:w="1135"/>
        <w:gridCol w:w="1195"/>
      </w:tblGrid>
      <w:tr w:rsidR="00272988" w:rsidRPr="00977D38" w:rsidTr="005549A3">
        <w:trPr>
          <w:cantSplit/>
          <w:trHeight w:val="72"/>
        </w:trPr>
        <w:tc>
          <w:tcPr>
            <w:tcW w:w="6417" w:type="dxa"/>
            <w:vMerge w:val="restart"/>
            <w:vAlign w:val="center"/>
          </w:tcPr>
          <w:p w:rsidR="00272988" w:rsidRPr="00977D38" w:rsidRDefault="00272988" w:rsidP="00D651D6">
            <w:pPr>
              <w:pStyle w:val="af7"/>
              <w:rPr>
                <w:rFonts w:asciiTheme="minorHAnsi" w:hAnsiTheme="minorHAnsi" w:cstheme="minorHAnsi"/>
                <w:snapToGrid w:val="0"/>
                <w:sz w:val="20"/>
              </w:rPr>
            </w:pPr>
          </w:p>
        </w:tc>
        <w:tc>
          <w:tcPr>
            <w:tcW w:w="993" w:type="dxa"/>
            <w:vMerge w:val="restart"/>
            <w:vAlign w:val="center"/>
          </w:tcPr>
          <w:p w:rsidR="00272988" w:rsidRPr="00977D38" w:rsidRDefault="00272988" w:rsidP="00D651D6">
            <w:pPr>
              <w:pStyle w:val="af8"/>
              <w:jc w:val="center"/>
              <w:rPr>
                <w:rFonts w:asciiTheme="minorHAnsi" w:hAnsiTheme="minorHAnsi" w:cstheme="minorHAnsi"/>
                <w:noProof w:val="0"/>
                <w:sz w:val="20"/>
                <w:lang w:val="kk-KZ"/>
              </w:rPr>
            </w:pPr>
            <w:r w:rsidRPr="00977D38">
              <w:rPr>
                <w:rFonts w:asciiTheme="minorHAnsi" w:hAnsiTheme="minorHAnsi" w:cstheme="minorHAnsi"/>
                <w:noProof w:val="0"/>
                <w:sz w:val="20"/>
                <w:lang w:val="kk-KZ"/>
              </w:rPr>
              <w:t>Всего</w:t>
            </w:r>
          </w:p>
        </w:tc>
        <w:tc>
          <w:tcPr>
            <w:tcW w:w="2330" w:type="dxa"/>
            <w:gridSpan w:val="2"/>
            <w:vAlign w:val="center"/>
          </w:tcPr>
          <w:p w:rsidR="00272988" w:rsidRPr="00977D38" w:rsidRDefault="00272988" w:rsidP="00D651D6">
            <w:pPr>
              <w:pStyle w:val="af8"/>
              <w:jc w:val="center"/>
              <w:rPr>
                <w:rFonts w:asciiTheme="minorHAnsi" w:hAnsiTheme="minorHAnsi" w:cstheme="minorHAnsi"/>
                <w:noProof w:val="0"/>
                <w:sz w:val="20"/>
                <w:lang w:val="kk-KZ"/>
              </w:rPr>
            </w:pPr>
            <w:r w:rsidRPr="00977D38">
              <w:rPr>
                <w:rFonts w:asciiTheme="minorHAnsi" w:hAnsiTheme="minorHAnsi" w:cstheme="minorHAnsi"/>
                <w:noProof w:val="0"/>
                <w:sz w:val="20"/>
                <w:lang w:val="kk-KZ"/>
              </w:rPr>
              <w:t>В том числе</w:t>
            </w:r>
          </w:p>
        </w:tc>
      </w:tr>
      <w:tr w:rsidR="00272988" w:rsidRPr="00977D38" w:rsidTr="005549A3">
        <w:trPr>
          <w:cantSplit/>
          <w:trHeight w:val="163"/>
        </w:trPr>
        <w:tc>
          <w:tcPr>
            <w:tcW w:w="6417" w:type="dxa"/>
            <w:vMerge/>
            <w:vAlign w:val="center"/>
          </w:tcPr>
          <w:p w:rsidR="00272988" w:rsidRPr="00977D38" w:rsidRDefault="00272988" w:rsidP="00D651D6">
            <w:pPr>
              <w:pStyle w:val="af8"/>
              <w:jc w:val="center"/>
              <w:rPr>
                <w:rFonts w:asciiTheme="minorHAnsi" w:hAnsiTheme="minorHAnsi" w:cstheme="minorHAnsi"/>
                <w:b/>
                <w:snapToGrid w:val="0"/>
                <w:sz w:val="20"/>
              </w:rPr>
            </w:pPr>
          </w:p>
        </w:tc>
        <w:tc>
          <w:tcPr>
            <w:tcW w:w="993" w:type="dxa"/>
            <w:vMerge/>
            <w:vAlign w:val="center"/>
          </w:tcPr>
          <w:p w:rsidR="00272988" w:rsidRPr="00977D38" w:rsidRDefault="00272988" w:rsidP="00D651D6">
            <w:pPr>
              <w:pStyle w:val="af7"/>
              <w:rPr>
                <w:rFonts w:asciiTheme="minorHAnsi" w:hAnsiTheme="minorHAnsi" w:cstheme="minorHAnsi"/>
                <w:noProof w:val="0"/>
                <w:snapToGrid w:val="0"/>
                <w:sz w:val="20"/>
              </w:rPr>
            </w:pPr>
          </w:p>
        </w:tc>
        <w:tc>
          <w:tcPr>
            <w:tcW w:w="1135" w:type="dxa"/>
            <w:vAlign w:val="center"/>
          </w:tcPr>
          <w:p w:rsidR="00272988" w:rsidRPr="00977D38" w:rsidRDefault="00272988" w:rsidP="00D651D6">
            <w:pPr>
              <w:pStyle w:val="af7"/>
              <w:rPr>
                <w:rFonts w:asciiTheme="minorHAnsi" w:hAnsiTheme="minorHAnsi" w:cstheme="minorHAnsi"/>
                <w:noProof w:val="0"/>
                <w:snapToGrid w:val="0"/>
                <w:sz w:val="20"/>
                <w:lang w:val="kk-KZ"/>
              </w:rPr>
            </w:pPr>
            <w:r w:rsidRPr="00977D38">
              <w:rPr>
                <w:rFonts w:asciiTheme="minorHAnsi" w:hAnsiTheme="minorHAnsi" w:cstheme="minorHAnsi"/>
                <w:noProof w:val="0"/>
                <w:snapToGrid w:val="0"/>
                <w:sz w:val="20"/>
                <w:lang w:val="kk-KZ"/>
              </w:rPr>
              <w:t>мужчины</w:t>
            </w:r>
          </w:p>
        </w:tc>
        <w:tc>
          <w:tcPr>
            <w:tcW w:w="1194" w:type="dxa"/>
            <w:vAlign w:val="center"/>
          </w:tcPr>
          <w:p w:rsidR="00272988" w:rsidRPr="00977D38" w:rsidRDefault="00272988" w:rsidP="00D651D6">
            <w:pPr>
              <w:pStyle w:val="af7"/>
              <w:rPr>
                <w:rFonts w:asciiTheme="minorHAnsi" w:hAnsiTheme="minorHAnsi" w:cstheme="minorHAnsi"/>
                <w:noProof w:val="0"/>
                <w:snapToGrid w:val="0"/>
                <w:sz w:val="20"/>
                <w:lang w:val="kk-KZ"/>
              </w:rPr>
            </w:pPr>
            <w:r w:rsidRPr="00977D38">
              <w:rPr>
                <w:rFonts w:asciiTheme="minorHAnsi" w:hAnsiTheme="minorHAnsi" w:cstheme="minorHAnsi"/>
                <w:noProof w:val="0"/>
                <w:snapToGrid w:val="0"/>
                <w:sz w:val="20"/>
                <w:lang w:val="kk-KZ"/>
              </w:rPr>
              <w:t>женщины</w:t>
            </w: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Рабочая сила, тысяч человек</w:t>
            </w:r>
          </w:p>
        </w:tc>
        <w:tc>
          <w:tcPr>
            <w:tcW w:w="993" w:type="dxa"/>
            <w:vAlign w:val="bottom"/>
          </w:tcPr>
          <w:p w:rsidR="00272988" w:rsidRPr="00977D38" w:rsidRDefault="00272988" w:rsidP="00D651D6">
            <w:pPr>
              <w:spacing w:after="0" w:line="240" w:lineRule="auto"/>
              <w:rPr>
                <w:rFonts w:cstheme="minorHAnsi"/>
                <w:sz w:val="20"/>
                <w:szCs w:val="20"/>
              </w:rPr>
            </w:pPr>
            <w:r w:rsidRPr="00977D38">
              <w:rPr>
                <w:rFonts w:cstheme="minorHAnsi"/>
                <w:sz w:val="20"/>
                <w:szCs w:val="20"/>
                <w:lang w:val="kk-KZ"/>
              </w:rPr>
              <w:t>9</w:t>
            </w:r>
            <w:r w:rsidRPr="00977D38">
              <w:rPr>
                <w:rFonts w:cstheme="minorHAnsi"/>
                <w:sz w:val="20"/>
                <w:szCs w:val="20"/>
              </w:rPr>
              <w:t xml:space="preserve"> 167</w:t>
            </w:r>
            <w:r w:rsidRPr="00977D38">
              <w:rPr>
                <w:rFonts w:cstheme="minorHAnsi"/>
                <w:sz w:val="20"/>
                <w:szCs w:val="20"/>
                <w:lang w:val="kk-KZ"/>
              </w:rPr>
              <w:t>,</w:t>
            </w:r>
            <w:r w:rsidRPr="00977D38">
              <w:rPr>
                <w:rFonts w:cstheme="minorHAnsi"/>
                <w:sz w:val="20"/>
                <w:szCs w:val="20"/>
              </w:rPr>
              <w:t>9</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4 717,5</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4 450,4</w:t>
            </w:r>
          </w:p>
        </w:tc>
      </w:tr>
      <w:tr w:rsidR="00272988" w:rsidRPr="00977D38" w:rsidTr="005549A3">
        <w:trPr>
          <w:cantSplit/>
          <w:trHeight w:val="48"/>
        </w:trPr>
        <w:tc>
          <w:tcPr>
            <w:tcW w:w="6417" w:type="dxa"/>
            <w:vAlign w:val="bottom"/>
          </w:tcPr>
          <w:p w:rsidR="00272988" w:rsidRPr="00977D38" w:rsidRDefault="00272988" w:rsidP="00D651D6">
            <w:pPr>
              <w:pStyle w:val="af8"/>
              <w:rPr>
                <w:rFonts w:asciiTheme="minorHAnsi" w:hAnsiTheme="minorHAnsi" w:cstheme="minorHAnsi"/>
                <w:snapToGrid w:val="0"/>
                <w:sz w:val="20"/>
                <w:lang w:val="kk-KZ"/>
              </w:rPr>
            </w:pPr>
            <w:r w:rsidRPr="00977D38">
              <w:rPr>
                <w:rFonts w:asciiTheme="minorHAnsi" w:hAnsiTheme="minorHAnsi" w:cstheme="minorHAnsi"/>
                <w:snapToGrid w:val="0"/>
                <w:sz w:val="20"/>
              </w:rPr>
              <w:t>Доля рабочей силы в численности населения</w:t>
            </w:r>
            <w:r w:rsidRPr="00977D38">
              <w:rPr>
                <w:rFonts w:asciiTheme="minorHAnsi" w:hAnsiTheme="minorHAnsi" w:cstheme="minorHAnsi"/>
                <w:snapToGrid w:val="0"/>
                <w:sz w:val="20"/>
                <w:lang w:val="kk-KZ"/>
              </w:rPr>
              <w:t xml:space="preserve"> </w:t>
            </w:r>
            <w:r w:rsidRPr="00977D38">
              <w:rPr>
                <w:rFonts w:asciiTheme="minorHAnsi" w:hAnsiTheme="minorHAnsi" w:cstheme="minorHAnsi"/>
                <w:sz w:val="20"/>
              </w:rPr>
              <w:t>в возрасте 15 лет и старше</w:t>
            </w:r>
            <w:r w:rsidRPr="00977D38">
              <w:rPr>
                <w:rFonts w:asciiTheme="minorHAnsi" w:hAnsiTheme="minorHAnsi" w:cstheme="minorHAnsi"/>
                <w:snapToGrid w:val="0"/>
                <w:sz w:val="20"/>
                <w:lang w:val="kk-KZ"/>
              </w:rPr>
              <w:t xml:space="preserve">,  </w:t>
            </w:r>
            <w:r w:rsidRPr="00977D38">
              <w:rPr>
                <w:rFonts w:asciiTheme="minorHAnsi" w:hAnsiTheme="minorHAnsi" w:cstheme="minorHAnsi"/>
                <w:snapToGrid w:val="0"/>
                <w:sz w:val="20"/>
              </w:rPr>
              <w:t>в процентах</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69,</w:t>
            </w:r>
            <w:r w:rsidRPr="00977D38">
              <w:rPr>
                <w:rFonts w:cstheme="minorHAnsi"/>
                <w:sz w:val="20"/>
                <w:szCs w:val="20"/>
                <w:lang w:val="en-US"/>
              </w:rPr>
              <w:t>2</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75,3</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63,7</w:t>
            </w:r>
          </w:p>
        </w:tc>
      </w:tr>
      <w:tr w:rsidR="00272988" w:rsidRPr="00977D38" w:rsidTr="005549A3">
        <w:trPr>
          <w:cantSplit/>
          <w:trHeight w:val="300"/>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Занятое население, тысяч человек</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rPr>
              <w:t>8</w:t>
            </w:r>
            <w:r w:rsidRPr="00977D38">
              <w:rPr>
                <w:rFonts w:cstheme="minorHAnsi"/>
                <w:sz w:val="20"/>
                <w:szCs w:val="20"/>
                <w:lang w:val="en-US"/>
              </w:rPr>
              <w:t xml:space="preserve"> </w:t>
            </w:r>
            <w:r w:rsidRPr="00977D38">
              <w:rPr>
                <w:rFonts w:cstheme="minorHAnsi"/>
                <w:sz w:val="20"/>
                <w:szCs w:val="20"/>
              </w:rPr>
              <w:t>71</w:t>
            </w:r>
            <w:r w:rsidRPr="00977D38">
              <w:rPr>
                <w:rFonts w:cstheme="minorHAnsi"/>
                <w:sz w:val="20"/>
                <w:szCs w:val="20"/>
                <w:lang w:val="en-US"/>
              </w:rPr>
              <w:t>3</w:t>
            </w:r>
            <w:r w:rsidRPr="00977D38">
              <w:rPr>
                <w:rFonts w:cstheme="minorHAnsi"/>
                <w:sz w:val="20"/>
                <w:szCs w:val="20"/>
              </w:rPr>
              <w:t>,1</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4 512,1</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4 201,0</w:t>
            </w:r>
          </w:p>
        </w:tc>
      </w:tr>
      <w:tr w:rsidR="00272988" w:rsidRPr="00977D38" w:rsidTr="005549A3">
        <w:trPr>
          <w:cantSplit/>
          <w:trHeight w:val="279"/>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 xml:space="preserve">   Уровень занятости, в процентах к:</w:t>
            </w:r>
          </w:p>
        </w:tc>
        <w:tc>
          <w:tcPr>
            <w:tcW w:w="993" w:type="dxa"/>
            <w:vAlign w:val="bottom"/>
          </w:tcPr>
          <w:p w:rsidR="00272988" w:rsidRPr="00977D38" w:rsidRDefault="00272988" w:rsidP="00D651D6">
            <w:pPr>
              <w:spacing w:after="0" w:line="240" w:lineRule="auto"/>
              <w:jc w:val="right"/>
              <w:rPr>
                <w:rFonts w:cstheme="minorHAnsi"/>
                <w:sz w:val="20"/>
                <w:szCs w:val="20"/>
                <w:lang w:val="kk-KZ"/>
              </w:rPr>
            </w:pPr>
          </w:p>
        </w:tc>
        <w:tc>
          <w:tcPr>
            <w:tcW w:w="1135" w:type="dxa"/>
          </w:tcPr>
          <w:p w:rsidR="00272988" w:rsidRPr="00977D38" w:rsidRDefault="00272988" w:rsidP="00D651D6">
            <w:pPr>
              <w:spacing w:after="0" w:line="240" w:lineRule="auto"/>
              <w:jc w:val="right"/>
              <w:rPr>
                <w:rFonts w:cstheme="minorHAnsi"/>
                <w:sz w:val="20"/>
                <w:szCs w:val="20"/>
              </w:rPr>
            </w:pPr>
          </w:p>
        </w:tc>
        <w:tc>
          <w:tcPr>
            <w:tcW w:w="1194" w:type="dxa"/>
          </w:tcPr>
          <w:p w:rsidR="00272988" w:rsidRPr="00977D38" w:rsidRDefault="00272988" w:rsidP="00D651D6">
            <w:pPr>
              <w:spacing w:after="0" w:line="240" w:lineRule="auto"/>
              <w:jc w:val="right"/>
              <w:rPr>
                <w:rFonts w:cstheme="minorHAnsi"/>
                <w:sz w:val="20"/>
                <w:szCs w:val="20"/>
              </w:rPr>
            </w:pP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 xml:space="preserve">       населению в возрасте 15 лет и старше </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6</w:t>
            </w:r>
            <w:r w:rsidRPr="00977D38">
              <w:rPr>
                <w:rFonts w:cstheme="minorHAnsi"/>
                <w:sz w:val="20"/>
                <w:szCs w:val="20"/>
                <w:lang w:val="en-US"/>
              </w:rPr>
              <w:t>5</w:t>
            </w:r>
            <w:r w:rsidRPr="00977D38">
              <w:rPr>
                <w:rFonts w:cstheme="minorHAnsi"/>
                <w:sz w:val="20"/>
                <w:szCs w:val="20"/>
                <w:lang w:val="kk-KZ"/>
              </w:rPr>
              <w:t>,8</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72,0</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60,2</w:t>
            </w: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lang w:val="kk-KZ"/>
              </w:rPr>
            </w:pPr>
            <w:r w:rsidRPr="00977D38">
              <w:rPr>
                <w:rFonts w:asciiTheme="minorHAnsi" w:hAnsiTheme="minorHAnsi" w:cstheme="minorHAnsi"/>
                <w:snapToGrid w:val="0"/>
                <w:sz w:val="20"/>
              </w:rPr>
              <w:t xml:space="preserve">       численности рабочей силы</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95,</w:t>
            </w:r>
            <w:r w:rsidRPr="00977D38">
              <w:rPr>
                <w:rFonts w:cstheme="minorHAnsi"/>
                <w:sz w:val="20"/>
                <w:szCs w:val="20"/>
                <w:lang w:val="en-US"/>
              </w:rPr>
              <w:t>0</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95,6</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94,4</w:t>
            </w:r>
          </w:p>
        </w:tc>
      </w:tr>
      <w:tr w:rsidR="00272988" w:rsidRPr="00977D38" w:rsidTr="005549A3">
        <w:trPr>
          <w:cantSplit/>
          <w:trHeight w:val="279"/>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Безработное население, тысяч человек</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4</w:t>
            </w:r>
            <w:r w:rsidRPr="00977D38">
              <w:rPr>
                <w:rFonts w:cstheme="minorHAnsi"/>
                <w:sz w:val="20"/>
                <w:szCs w:val="20"/>
                <w:lang w:val="en-US"/>
              </w:rPr>
              <w:t>54</w:t>
            </w:r>
            <w:r w:rsidRPr="00977D38">
              <w:rPr>
                <w:rFonts w:cstheme="minorHAnsi"/>
                <w:sz w:val="20"/>
                <w:szCs w:val="20"/>
                <w:lang w:val="kk-KZ"/>
              </w:rPr>
              <w:t>,8</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205,4</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249,4</w:t>
            </w: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 xml:space="preserve">  Уровень безработицы, в процентах </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en-US"/>
              </w:rPr>
              <w:t>5</w:t>
            </w:r>
            <w:r w:rsidRPr="00977D38">
              <w:rPr>
                <w:rFonts w:cstheme="minorHAnsi"/>
                <w:sz w:val="20"/>
                <w:szCs w:val="20"/>
                <w:lang w:val="kk-KZ"/>
              </w:rPr>
              <w:t>,</w:t>
            </w:r>
            <w:r w:rsidRPr="00977D38">
              <w:rPr>
                <w:rFonts w:cstheme="minorHAnsi"/>
                <w:sz w:val="20"/>
                <w:szCs w:val="20"/>
                <w:lang w:val="en-US"/>
              </w:rPr>
              <w:t>0</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4,4</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5,6</w:t>
            </w: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Безработные в возрасте 15-28 лет, тысяч человек</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en-US"/>
              </w:rPr>
              <w:t>8</w:t>
            </w:r>
            <w:r w:rsidRPr="00977D38">
              <w:rPr>
                <w:rFonts w:cstheme="minorHAnsi"/>
                <w:sz w:val="20"/>
                <w:szCs w:val="20"/>
              </w:rPr>
              <w:t>3,3</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37,1</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46,2</w:t>
            </w:r>
          </w:p>
        </w:tc>
      </w:tr>
      <w:tr w:rsidR="00272988" w:rsidRPr="00977D38" w:rsidTr="005549A3">
        <w:trPr>
          <w:cantSplit/>
          <w:trHeight w:val="279"/>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 xml:space="preserve">  Уровень молодежной безработицы, в процентах</w:t>
            </w:r>
            <w:r w:rsidRPr="00977D38">
              <w:rPr>
                <w:rFonts w:asciiTheme="minorHAnsi" w:hAnsiTheme="minorHAnsi" w:cstheme="minorHAnsi"/>
                <w:snapToGrid w:val="0"/>
                <w:sz w:val="20"/>
                <w:lang w:val="kk-KZ"/>
              </w:rPr>
              <w:t xml:space="preserve"> </w:t>
            </w:r>
            <w:r w:rsidRPr="00977D38">
              <w:rPr>
                <w:rFonts w:asciiTheme="minorHAnsi" w:hAnsiTheme="minorHAnsi" w:cstheme="minorHAnsi"/>
                <w:snapToGrid w:val="0"/>
                <w:sz w:val="20"/>
              </w:rPr>
              <w:t xml:space="preserve"> (в возрасте 15-28 лет)</w:t>
            </w:r>
            <w:r w:rsidRPr="00977D38">
              <w:rPr>
                <w:rFonts w:asciiTheme="minorHAnsi" w:hAnsiTheme="minorHAnsi" w:cstheme="minorHAnsi"/>
                <w:snapToGrid w:val="0"/>
                <w:sz w:val="20"/>
                <w:vertAlign w:val="superscript"/>
              </w:rPr>
              <w:t>2</w:t>
            </w:r>
            <w:r w:rsidRPr="00977D38">
              <w:rPr>
                <w:rFonts w:asciiTheme="minorHAnsi" w:hAnsiTheme="minorHAnsi" w:cstheme="minorHAnsi"/>
                <w:snapToGrid w:val="0"/>
                <w:sz w:val="20"/>
              </w:rPr>
              <w:t>⁾</w:t>
            </w:r>
          </w:p>
        </w:tc>
        <w:tc>
          <w:tcPr>
            <w:tcW w:w="993" w:type="dxa"/>
          </w:tcPr>
          <w:p w:rsidR="00272988" w:rsidRPr="00977D38" w:rsidRDefault="00272988" w:rsidP="00D651D6">
            <w:pPr>
              <w:spacing w:after="0" w:line="240" w:lineRule="auto"/>
              <w:jc w:val="right"/>
              <w:rPr>
                <w:rFonts w:cstheme="minorHAnsi"/>
                <w:sz w:val="20"/>
                <w:szCs w:val="20"/>
              </w:rPr>
            </w:pPr>
            <w:r w:rsidRPr="00977D38">
              <w:rPr>
                <w:rFonts w:cstheme="minorHAnsi"/>
                <w:sz w:val="20"/>
                <w:szCs w:val="20"/>
              </w:rPr>
              <w:t>3,9</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3,3</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4,6</w:t>
            </w:r>
          </w:p>
        </w:tc>
      </w:tr>
      <w:tr w:rsidR="00272988" w:rsidRPr="00977D38" w:rsidTr="005549A3">
        <w:trPr>
          <w:cantSplit/>
          <w:trHeight w:val="268"/>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 xml:space="preserve">  Уровень долгосрочной безработицы, в процентах</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2,</w:t>
            </w:r>
            <w:r w:rsidRPr="00977D38">
              <w:rPr>
                <w:rFonts w:cstheme="minorHAnsi"/>
                <w:sz w:val="20"/>
                <w:szCs w:val="20"/>
                <w:lang w:val="en-US"/>
              </w:rPr>
              <w:t xml:space="preserve">1 </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1,7</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2,6</w:t>
            </w:r>
          </w:p>
        </w:tc>
      </w:tr>
      <w:tr w:rsidR="00272988" w:rsidRPr="00977D38" w:rsidTr="005549A3">
        <w:trPr>
          <w:cantSplit/>
          <w:trHeight w:val="279"/>
        </w:trPr>
        <w:tc>
          <w:tcPr>
            <w:tcW w:w="6417" w:type="dxa"/>
            <w:vAlign w:val="bottom"/>
          </w:tcPr>
          <w:p w:rsidR="00272988" w:rsidRPr="00977D38" w:rsidRDefault="00272988" w:rsidP="00D651D6">
            <w:pPr>
              <w:pStyle w:val="af8"/>
              <w:rPr>
                <w:rFonts w:asciiTheme="minorHAnsi" w:hAnsiTheme="minorHAnsi" w:cstheme="minorHAnsi"/>
                <w:snapToGrid w:val="0"/>
                <w:sz w:val="20"/>
              </w:rPr>
            </w:pPr>
            <w:r w:rsidRPr="00977D38">
              <w:rPr>
                <w:rFonts w:asciiTheme="minorHAnsi" w:hAnsiTheme="minorHAnsi" w:cstheme="minorHAnsi"/>
                <w:snapToGrid w:val="0"/>
                <w:sz w:val="20"/>
              </w:rPr>
              <w:t>Лица, не входящие в состав рабочей силы</w:t>
            </w:r>
            <w:r w:rsidRPr="00977D38">
              <w:rPr>
                <w:rFonts w:asciiTheme="minorHAnsi" w:hAnsiTheme="minorHAnsi" w:cstheme="minorHAnsi"/>
                <w:snapToGrid w:val="0"/>
                <w:sz w:val="20"/>
                <w:lang w:val="kk-KZ"/>
              </w:rPr>
              <w:t xml:space="preserve"> </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4</w:t>
            </w:r>
            <w:r w:rsidRPr="00977D38">
              <w:rPr>
                <w:rFonts w:cstheme="minorHAnsi"/>
                <w:sz w:val="20"/>
                <w:szCs w:val="20"/>
                <w:lang w:val="en-US"/>
              </w:rPr>
              <w:t> </w:t>
            </w:r>
            <w:r w:rsidRPr="00977D38">
              <w:rPr>
                <w:rFonts w:cstheme="minorHAnsi"/>
                <w:sz w:val="20"/>
                <w:szCs w:val="20"/>
                <w:lang w:val="kk-KZ"/>
              </w:rPr>
              <w:t>07</w:t>
            </w:r>
            <w:r w:rsidRPr="00977D38">
              <w:rPr>
                <w:rFonts w:cstheme="minorHAnsi"/>
                <w:sz w:val="20"/>
                <w:szCs w:val="20"/>
                <w:lang w:val="en-US"/>
              </w:rPr>
              <w:t>8</w:t>
            </w:r>
            <w:r w:rsidRPr="00977D38">
              <w:rPr>
                <w:rFonts w:cstheme="minorHAnsi"/>
                <w:sz w:val="20"/>
                <w:szCs w:val="20"/>
              </w:rPr>
              <w:t>,6</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1 547,4</w:t>
            </w:r>
          </w:p>
        </w:tc>
        <w:tc>
          <w:tcPr>
            <w:tcW w:w="1194"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2 531,2</w:t>
            </w:r>
          </w:p>
        </w:tc>
      </w:tr>
      <w:tr w:rsidR="00272988" w:rsidRPr="00977D38" w:rsidTr="005549A3">
        <w:trPr>
          <w:cantSplit/>
          <w:trHeight w:val="279"/>
        </w:trPr>
        <w:tc>
          <w:tcPr>
            <w:tcW w:w="6417" w:type="dxa"/>
            <w:vAlign w:val="bottom"/>
          </w:tcPr>
          <w:p w:rsidR="00272988" w:rsidRPr="00977D38" w:rsidRDefault="00272988" w:rsidP="00D651D6">
            <w:pPr>
              <w:pStyle w:val="af8"/>
              <w:rPr>
                <w:rFonts w:asciiTheme="minorHAnsi" w:hAnsiTheme="minorHAnsi" w:cstheme="minorHAnsi"/>
                <w:snapToGrid w:val="0"/>
                <w:sz w:val="20"/>
                <w:lang w:val="kk-KZ"/>
              </w:rPr>
            </w:pPr>
            <w:r w:rsidRPr="00977D38">
              <w:rPr>
                <w:rFonts w:asciiTheme="minorHAnsi" w:hAnsiTheme="minorHAnsi" w:cstheme="minorHAnsi"/>
                <w:snapToGrid w:val="0"/>
                <w:sz w:val="20"/>
              </w:rPr>
              <w:t>Доля лиц, не входящих в состав рабочей силы в численности населения</w:t>
            </w:r>
            <w:r w:rsidRPr="00977D38">
              <w:rPr>
                <w:rFonts w:asciiTheme="minorHAnsi" w:hAnsiTheme="minorHAnsi" w:cstheme="minorHAnsi"/>
                <w:snapToGrid w:val="0"/>
                <w:sz w:val="20"/>
                <w:lang w:val="kk-KZ"/>
              </w:rPr>
              <w:t xml:space="preserve"> </w:t>
            </w:r>
            <w:r w:rsidRPr="00977D38">
              <w:rPr>
                <w:rFonts w:asciiTheme="minorHAnsi" w:hAnsiTheme="minorHAnsi" w:cstheme="minorHAnsi"/>
                <w:sz w:val="20"/>
              </w:rPr>
              <w:t>в возрасте 15 лет и старше</w:t>
            </w:r>
            <w:r w:rsidRPr="00977D38">
              <w:rPr>
                <w:rFonts w:asciiTheme="minorHAnsi" w:hAnsiTheme="minorHAnsi" w:cstheme="minorHAnsi"/>
                <w:snapToGrid w:val="0"/>
                <w:sz w:val="20"/>
              </w:rPr>
              <w:t>, в процентах</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30,</w:t>
            </w:r>
            <w:r w:rsidRPr="00977D38">
              <w:rPr>
                <w:rFonts w:cstheme="minorHAnsi"/>
                <w:sz w:val="20"/>
                <w:szCs w:val="20"/>
                <w:lang w:val="en-US"/>
              </w:rPr>
              <w:t>8</w:t>
            </w:r>
          </w:p>
        </w:tc>
        <w:tc>
          <w:tcPr>
            <w:tcW w:w="1135" w:type="dxa"/>
            <w:vAlign w:val="bottom"/>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24,7</w:t>
            </w:r>
          </w:p>
        </w:tc>
        <w:tc>
          <w:tcPr>
            <w:tcW w:w="1194" w:type="dxa"/>
            <w:vAlign w:val="bottom"/>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36,3</w:t>
            </w:r>
          </w:p>
        </w:tc>
      </w:tr>
    </w:tbl>
    <w:p w:rsidR="00272988" w:rsidRPr="00C813F8" w:rsidRDefault="00272988" w:rsidP="00D651D6">
      <w:pPr>
        <w:pStyle w:val="af5"/>
        <w:spacing w:before="0"/>
        <w:ind w:firstLine="0"/>
        <w:rPr>
          <w:rFonts w:ascii="Calibri" w:hAnsi="Calibri" w:cs="Arial"/>
          <w:i/>
          <w:iCs/>
          <w:sz w:val="14"/>
          <w:szCs w:val="14"/>
        </w:rPr>
      </w:pPr>
    </w:p>
    <w:p w:rsidR="00272988" w:rsidRDefault="00272988" w:rsidP="00D651D6">
      <w:pPr>
        <w:pStyle w:val="af5"/>
        <w:spacing w:before="0"/>
        <w:ind w:firstLine="708"/>
        <w:rPr>
          <w:rFonts w:ascii="Calibri" w:hAnsi="Calibri" w:cs="Arial"/>
          <w:sz w:val="20"/>
        </w:rPr>
      </w:pPr>
    </w:p>
    <w:p w:rsidR="00AF1D0C" w:rsidRDefault="00AF1D0C" w:rsidP="00D651D6">
      <w:pPr>
        <w:pStyle w:val="af5"/>
        <w:spacing w:before="0"/>
        <w:ind w:firstLine="708"/>
        <w:rPr>
          <w:rFonts w:ascii="Calibri" w:hAnsi="Calibri" w:cs="Arial"/>
          <w:sz w:val="20"/>
        </w:rPr>
      </w:pPr>
      <w:r>
        <w:rPr>
          <w:rFonts w:ascii="Calibri" w:hAnsi="Calibri" w:cs="Arial"/>
          <w:sz w:val="20"/>
        </w:rPr>
        <w:t>В</w:t>
      </w:r>
      <w:r>
        <w:rPr>
          <w:rFonts w:ascii="Calibri" w:hAnsi="Calibri" w:cs="Arial"/>
          <w:sz w:val="20"/>
          <w:lang w:val="kk-KZ"/>
        </w:rPr>
        <w:t xml:space="preserve"> </w:t>
      </w:r>
      <w:r w:rsidRPr="0044247F">
        <w:rPr>
          <w:rFonts w:ascii="Calibri" w:hAnsi="Calibri" w:cs="Arial"/>
          <w:sz w:val="20"/>
        </w:rPr>
        <w:t xml:space="preserve">общей численности занятого </w:t>
      </w:r>
      <w:r w:rsidRPr="00754548">
        <w:rPr>
          <w:rFonts w:ascii="Calibri" w:hAnsi="Calibri" w:cs="Arial"/>
          <w:sz w:val="20"/>
        </w:rPr>
        <w:t xml:space="preserve">населения 6,7 </w:t>
      </w:r>
      <w:r w:rsidRPr="00754548">
        <w:rPr>
          <w:rFonts w:ascii="Calibri" w:hAnsi="Calibri" w:cs="Arial"/>
          <w:sz w:val="20"/>
          <w:lang w:val="kk-KZ"/>
        </w:rPr>
        <w:t>млн</w:t>
      </w:r>
      <w:r w:rsidRPr="00754548">
        <w:rPr>
          <w:rFonts w:ascii="Calibri" w:hAnsi="Calibri" w:cs="Arial"/>
          <w:sz w:val="20"/>
        </w:rPr>
        <w:t>. человек</w:t>
      </w:r>
      <w:r w:rsidRPr="00754548">
        <w:rPr>
          <w:rFonts w:ascii="Calibri" w:hAnsi="Calibri" w:cs="Arial"/>
          <w:sz w:val="20"/>
          <w:lang w:val="kk-KZ"/>
        </w:rPr>
        <w:t xml:space="preserve"> </w:t>
      </w:r>
      <w:r w:rsidRPr="00754548">
        <w:rPr>
          <w:rFonts w:ascii="Calibri" w:hAnsi="Calibri" w:cs="Arial"/>
          <w:sz w:val="20"/>
        </w:rPr>
        <w:t>или 76,</w:t>
      </w:r>
      <w:r>
        <w:rPr>
          <w:rFonts w:ascii="Calibri" w:hAnsi="Calibri" w:cs="Arial"/>
          <w:sz w:val="20"/>
        </w:rPr>
        <w:t>4</w:t>
      </w:r>
      <w:r w:rsidRPr="00754548">
        <w:rPr>
          <w:rFonts w:ascii="Calibri" w:hAnsi="Calibri" w:cs="Arial"/>
          <w:sz w:val="20"/>
        </w:rPr>
        <w:t>%</w:t>
      </w:r>
      <w:r>
        <w:rPr>
          <w:rFonts w:ascii="Calibri" w:hAnsi="Calibri" w:cs="Arial"/>
          <w:sz w:val="20"/>
        </w:rPr>
        <w:t xml:space="preserve"> составляли</w:t>
      </w:r>
      <w:r>
        <w:rPr>
          <w:rFonts w:ascii="Calibri" w:hAnsi="Calibri" w:cs="Arial"/>
          <w:sz w:val="20"/>
          <w:lang w:val="kk-KZ"/>
        </w:rPr>
        <w:t xml:space="preserve"> </w:t>
      </w:r>
      <w:r w:rsidRPr="0002118A">
        <w:rPr>
          <w:rFonts w:ascii="Calibri" w:hAnsi="Calibri" w:cs="Arial"/>
          <w:sz w:val="20"/>
        </w:rPr>
        <w:t>наемны</w:t>
      </w:r>
      <w:r>
        <w:rPr>
          <w:rFonts w:ascii="Calibri" w:hAnsi="Calibri" w:cs="Arial"/>
          <w:sz w:val="20"/>
        </w:rPr>
        <w:t>е</w:t>
      </w:r>
      <w:r w:rsidRPr="0002118A">
        <w:rPr>
          <w:rFonts w:ascii="Calibri" w:hAnsi="Calibri" w:cs="Arial"/>
          <w:sz w:val="20"/>
        </w:rPr>
        <w:t xml:space="preserve"> работник</w:t>
      </w:r>
      <w:r>
        <w:rPr>
          <w:rFonts w:ascii="Calibri" w:hAnsi="Calibri" w:cs="Arial"/>
          <w:sz w:val="20"/>
        </w:rPr>
        <w:t>и,</w:t>
      </w:r>
      <w:r>
        <w:rPr>
          <w:rFonts w:ascii="Calibri" w:hAnsi="Calibri" w:cs="Arial"/>
          <w:sz w:val="20"/>
          <w:lang w:val="kk-KZ"/>
        </w:rPr>
        <w:t xml:space="preserve"> </w:t>
      </w:r>
      <w:r w:rsidRPr="00B24860">
        <w:rPr>
          <w:rFonts w:ascii="Calibri" w:hAnsi="Calibri" w:cs="Arial"/>
          <w:sz w:val="20"/>
        </w:rPr>
        <w:t>1,5 млн.</w:t>
      </w:r>
      <w:r w:rsidRPr="0044247F">
        <w:rPr>
          <w:rFonts w:ascii="Calibri" w:hAnsi="Calibri" w:cs="Arial"/>
          <w:sz w:val="20"/>
        </w:rPr>
        <w:t xml:space="preserve"> человек </w:t>
      </w:r>
      <w:r>
        <w:rPr>
          <w:rFonts w:ascii="Calibri" w:hAnsi="Calibri" w:cs="Arial"/>
          <w:sz w:val="20"/>
        </w:rPr>
        <w:t xml:space="preserve">- </w:t>
      </w:r>
      <w:r w:rsidRPr="0044247F">
        <w:rPr>
          <w:rFonts w:ascii="Calibri" w:hAnsi="Calibri" w:cs="Arial"/>
          <w:sz w:val="20"/>
        </w:rPr>
        <w:t>индивидуальные предприниматели,</w:t>
      </w:r>
      <w:r>
        <w:rPr>
          <w:rFonts w:ascii="Calibri" w:hAnsi="Calibri" w:cs="Arial"/>
          <w:sz w:val="20"/>
        </w:rPr>
        <w:t xml:space="preserve"> 4</w:t>
      </w:r>
      <w:r w:rsidRPr="00B24860">
        <w:rPr>
          <w:rFonts w:ascii="Calibri" w:hAnsi="Calibri" w:cs="Arial"/>
          <w:sz w:val="20"/>
        </w:rPr>
        <w:t>,</w:t>
      </w:r>
      <w:r>
        <w:rPr>
          <w:rFonts w:ascii="Calibri" w:hAnsi="Calibri" w:cs="Arial"/>
          <w:sz w:val="20"/>
        </w:rPr>
        <w:t>3</w:t>
      </w:r>
      <w:r w:rsidRPr="00B24860">
        <w:rPr>
          <w:rFonts w:ascii="Calibri" w:hAnsi="Calibri" w:cs="Arial"/>
          <w:sz w:val="20"/>
        </w:rPr>
        <w:t xml:space="preserve"> тыс</w:t>
      </w:r>
      <w:r w:rsidRPr="0044247F">
        <w:rPr>
          <w:rFonts w:ascii="Calibri" w:hAnsi="Calibri" w:cs="Arial"/>
          <w:sz w:val="20"/>
        </w:rPr>
        <w:t xml:space="preserve">. человек </w:t>
      </w:r>
      <w:r>
        <w:rPr>
          <w:rFonts w:ascii="Calibri" w:hAnsi="Calibri" w:cs="Arial"/>
          <w:sz w:val="20"/>
        </w:rPr>
        <w:t xml:space="preserve">– </w:t>
      </w:r>
      <w:r w:rsidRPr="0044247F">
        <w:rPr>
          <w:rFonts w:ascii="Calibri" w:hAnsi="Calibri" w:cs="Arial"/>
          <w:sz w:val="20"/>
        </w:rPr>
        <w:t>занима</w:t>
      </w:r>
      <w:r>
        <w:rPr>
          <w:rFonts w:ascii="Calibri" w:hAnsi="Calibri" w:cs="Arial"/>
          <w:sz w:val="20"/>
        </w:rPr>
        <w:t>лись</w:t>
      </w:r>
      <w:r>
        <w:rPr>
          <w:rFonts w:ascii="Calibri" w:hAnsi="Calibri" w:cs="Arial"/>
          <w:sz w:val="20"/>
          <w:lang w:val="kk-KZ"/>
        </w:rPr>
        <w:t xml:space="preserve"> </w:t>
      </w:r>
      <w:r w:rsidRPr="0044247F">
        <w:rPr>
          <w:rFonts w:ascii="Calibri" w:hAnsi="Calibri" w:cs="Arial"/>
          <w:sz w:val="20"/>
        </w:rPr>
        <w:t>частной практикой</w:t>
      </w:r>
      <w:r>
        <w:rPr>
          <w:rFonts w:ascii="Calibri" w:hAnsi="Calibri" w:cs="Arial"/>
          <w:sz w:val="20"/>
        </w:rPr>
        <w:t xml:space="preserve">, </w:t>
      </w:r>
      <w:r>
        <w:rPr>
          <w:rFonts w:ascii="Calibri" w:hAnsi="Calibri" w:cs="Arial"/>
          <w:sz w:val="20"/>
          <w:lang w:val="kk-KZ"/>
        </w:rPr>
        <w:t>9,3</w:t>
      </w:r>
      <w:r w:rsidRPr="00B24860">
        <w:rPr>
          <w:rFonts w:ascii="Calibri" w:hAnsi="Calibri" w:cs="Arial"/>
          <w:sz w:val="20"/>
          <w:lang w:val="kk-KZ"/>
        </w:rPr>
        <w:t xml:space="preserve"> </w:t>
      </w:r>
      <w:r w:rsidRPr="00B24860">
        <w:rPr>
          <w:rFonts w:ascii="Calibri" w:hAnsi="Calibri" w:cs="Arial"/>
          <w:sz w:val="20"/>
        </w:rPr>
        <w:t>тыс</w:t>
      </w:r>
      <w:r w:rsidRPr="0044247F">
        <w:rPr>
          <w:rFonts w:ascii="Calibri" w:hAnsi="Calibri" w:cs="Arial"/>
          <w:sz w:val="20"/>
        </w:rPr>
        <w:t>.</w:t>
      </w:r>
      <w:r>
        <w:rPr>
          <w:rFonts w:ascii="Calibri" w:hAnsi="Calibri" w:cs="Arial"/>
          <w:sz w:val="20"/>
        </w:rPr>
        <w:t xml:space="preserve"> </w:t>
      </w:r>
      <w:r w:rsidRPr="0044247F">
        <w:rPr>
          <w:rFonts w:ascii="Calibri" w:hAnsi="Calibri" w:cs="Arial"/>
          <w:sz w:val="20"/>
        </w:rPr>
        <w:t xml:space="preserve">человек </w:t>
      </w:r>
      <w:r>
        <w:rPr>
          <w:rFonts w:ascii="Calibri" w:hAnsi="Calibri" w:cs="Arial"/>
          <w:sz w:val="20"/>
        </w:rPr>
        <w:t xml:space="preserve">- </w:t>
      </w:r>
      <w:r w:rsidRPr="0044247F">
        <w:rPr>
          <w:rFonts w:ascii="Calibri" w:hAnsi="Calibri" w:cs="Arial"/>
          <w:sz w:val="20"/>
        </w:rPr>
        <w:t>явля</w:t>
      </w:r>
      <w:r>
        <w:rPr>
          <w:rFonts w:ascii="Calibri" w:hAnsi="Calibri" w:cs="Arial"/>
          <w:sz w:val="20"/>
        </w:rPr>
        <w:t xml:space="preserve">лись </w:t>
      </w:r>
      <w:r w:rsidRPr="0044247F">
        <w:rPr>
          <w:rFonts w:ascii="Calibri" w:hAnsi="Calibri" w:cs="Arial"/>
          <w:sz w:val="20"/>
        </w:rPr>
        <w:t>учредителями (участниками) хозяйственных товариществ и учредителями, акционерами (участниками) акционерных обществ, а также членам</w:t>
      </w:r>
      <w:r>
        <w:rPr>
          <w:rFonts w:ascii="Calibri" w:hAnsi="Calibri" w:cs="Arial"/>
          <w:sz w:val="20"/>
        </w:rPr>
        <w:t xml:space="preserve">и производственных кооперативов, </w:t>
      </w:r>
      <w:r w:rsidRPr="00574967">
        <w:rPr>
          <w:rFonts w:ascii="Calibri" w:hAnsi="Calibri" w:cs="Arial"/>
          <w:sz w:val="20"/>
          <w:lang w:val="kk-KZ"/>
        </w:rPr>
        <w:t>5</w:t>
      </w:r>
      <w:r>
        <w:rPr>
          <w:rFonts w:ascii="Calibri" w:hAnsi="Calibri" w:cs="Arial"/>
          <w:sz w:val="20"/>
          <w:lang w:val="kk-KZ"/>
        </w:rPr>
        <w:t>58,6</w:t>
      </w:r>
      <w:r>
        <w:rPr>
          <w:rFonts w:ascii="Calibri" w:hAnsi="Calibri" w:cs="Arial"/>
          <w:sz w:val="20"/>
        </w:rPr>
        <w:t xml:space="preserve"> </w:t>
      </w:r>
      <w:r w:rsidRPr="0044247F">
        <w:rPr>
          <w:rFonts w:ascii="Calibri" w:hAnsi="Calibri" w:cs="Arial"/>
          <w:sz w:val="20"/>
        </w:rPr>
        <w:t>тыс. человек</w:t>
      </w:r>
      <w:r>
        <w:rPr>
          <w:rFonts w:ascii="Calibri" w:hAnsi="Calibri" w:cs="Arial"/>
          <w:sz w:val="20"/>
        </w:rPr>
        <w:t xml:space="preserve"> -</w:t>
      </w:r>
      <w:r w:rsidRPr="0044247F">
        <w:rPr>
          <w:rFonts w:ascii="Calibri" w:hAnsi="Calibri" w:cs="Arial"/>
          <w:sz w:val="20"/>
        </w:rPr>
        <w:t xml:space="preserve"> независимы</w:t>
      </w:r>
      <w:r>
        <w:rPr>
          <w:rFonts w:ascii="Calibri" w:hAnsi="Calibri" w:cs="Arial"/>
          <w:sz w:val="20"/>
        </w:rPr>
        <w:t>ми</w:t>
      </w:r>
      <w:r w:rsidRPr="0044247F">
        <w:rPr>
          <w:rFonts w:ascii="Calibri" w:hAnsi="Calibri" w:cs="Arial"/>
          <w:sz w:val="20"/>
        </w:rPr>
        <w:t xml:space="preserve"> работник</w:t>
      </w:r>
      <w:r>
        <w:rPr>
          <w:rFonts w:ascii="Calibri" w:hAnsi="Calibri" w:cs="Arial"/>
          <w:sz w:val="20"/>
        </w:rPr>
        <w:t>ами.</w:t>
      </w:r>
    </w:p>
    <w:p w:rsidR="00AF1D0C" w:rsidRDefault="00AF1D0C" w:rsidP="00AF1D0C">
      <w:pPr>
        <w:pStyle w:val="af5"/>
        <w:spacing w:before="0"/>
        <w:ind w:firstLine="708"/>
        <w:rPr>
          <w:rFonts w:ascii="Calibri" w:hAnsi="Calibri" w:cs="Arial"/>
          <w:sz w:val="20"/>
          <w:lang w:val="kk-KZ"/>
        </w:rPr>
      </w:pPr>
      <w:r>
        <w:rPr>
          <w:rFonts w:ascii="Calibri" w:hAnsi="Calibri" w:cs="Arial"/>
          <w:sz w:val="20"/>
          <w:lang w:val="kk-KZ"/>
        </w:rPr>
        <w:t xml:space="preserve">Большая </w:t>
      </w:r>
      <w:r w:rsidRPr="006E7B5B">
        <w:rPr>
          <w:rFonts w:ascii="Calibri" w:hAnsi="Calibri" w:cs="Arial"/>
          <w:sz w:val="20"/>
          <w:lang w:val="kk-KZ"/>
        </w:rPr>
        <w:t>часть занятого населения осуществляли свою деятельность в таких видах экономической деятельности как торговля (16,</w:t>
      </w:r>
      <w:r>
        <w:rPr>
          <w:rFonts w:ascii="Calibri" w:hAnsi="Calibri" w:cs="Arial"/>
          <w:sz w:val="20"/>
          <w:lang w:val="kk-KZ"/>
        </w:rPr>
        <w:t>3</w:t>
      </w:r>
      <w:r w:rsidRPr="006E7B5B">
        <w:rPr>
          <w:rFonts w:ascii="Calibri" w:hAnsi="Calibri" w:cs="Arial"/>
          <w:sz w:val="20"/>
          <w:lang w:val="kk-KZ"/>
        </w:rPr>
        <w:t>%), сельское хозяйство (13</w:t>
      </w:r>
      <w:r>
        <w:rPr>
          <w:rFonts w:ascii="Calibri" w:hAnsi="Calibri" w:cs="Arial"/>
          <w:sz w:val="20"/>
          <w:lang w:val="kk-KZ"/>
        </w:rPr>
        <w:t>,9</w:t>
      </w:r>
      <w:r w:rsidRPr="006E7B5B">
        <w:rPr>
          <w:rFonts w:ascii="Calibri" w:hAnsi="Calibri" w:cs="Arial"/>
          <w:sz w:val="20"/>
          <w:lang w:val="kk-KZ"/>
        </w:rPr>
        <w:t>%), промышленность (12,</w:t>
      </w:r>
      <w:r>
        <w:rPr>
          <w:rFonts w:ascii="Calibri" w:hAnsi="Calibri" w:cs="Arial"/>
          <w:sz w:val="20"/>
          <w:lang w:val="kk-KZ"/>
        </w:rPr>
        <w:t>4</w:t>
      </w:r>
      <w:r w:rsidRPr="006E7B5B">
        <w:rPr>
          <w:rFonts w:ascii="Calibri" w:hAnsi="Calibri" w:cs="Arial"/>
          <w:sz w:val="20"/>
          <w:lang w:val="kk-KZ"/>
        </w:rPr>
        <w:t>%), образование (12,</w:t>
      </w:r>
      <w:r>
        <w:rPr>
          <w:rFonts w:ascii="Calibri" w:hAnsi="Calibri" w:cs="Arial"/>
          <w:sz w:val="20"/>
          <w:lang w:val="kk-KZ"/>
        </w:rPr>
        <w:t>7</w:t>
      </w:r>
      <w:r w:rsidRPr="006E7B5B">
        <w:rPr>
          <w:rFonts w:ascii="Calibri" w:hAnsi="Calibri" w:cs="Arial"/>
          <w:sz w:val="20"/>
          <w:lang w:val="kk-KZ"/>
        </w:rPr>
        <w:t>%).</w:t>
      </w:r>
    </w:p>
    <w:p w:rsidR="00AF1D0C" w:rsidRDefault="00AF1D0C" w:rsidP="00AF1D0C">
      <w:pPr>
        <w:pStyle w:val="af5"/>
        <w:spacing w:before="0"/>
        <w:ind w:firstLine="708"/>
        <w:rPr>
          <w:rFonts w:ascii="Calibri" w:hAnsi="Calibri" w:cs="Arial"/>
          <w:sz w:val="20"/>
        </w:rPr>
      </w:pPr>
      <w:r w:rsidRPr="00C813F8">
        <w:rPr>
          <w:rFonts w:ascii="Calibri" w:hAnsi="Calibri" w:cs="Arial"/>
          <w:sz w:val="20"/>
        </w:rPr>
        <w:t xml:space="preserve">Высшее и среднее профессиональное (специальное) образование </w:t>
      </w:r>
      <w:r w:rsidRPr="006E7B5B">
        <w:rPr>
          <w:rFonts w:ascii="Calibri" w:hAnsi="Calibri" w:cs="Arial"/>
          <w:sz w:val="20"/>
        </w:rPr>
        <w:t xml:space="preserve">имели </w:t>
      </w:r>
      <w:r w:rsidRPr="006E7B5B">
        <w:rPr>
          <w:rFonts w:ascii="Calibri" w:hAnsi="Calibri" w:cs="Arial"/>
          <w:sz w:val="20"/>
          <w:lang w:val="kk-KZ"/>
        </w:rPr>
        <w:t>7,</w:t>
      </w:r>
      <w:r>
        <w:rPr>
          <w:rFonts w:ascii="Calibri" w:hAnsi="Calibri" w:cs="Arial"/>
          <w:sz w:val="20"/>
          <w:lang w:val="kk-KZ"/>
        </w:rPr>
        <w:t>1</w:t>
      </w:r>
      <w:r w:rsidRPr="006E7B5B">
        <w:rPr>
          <w:rFonts w:ascii="Calibri" w:hAnsi="Calibri" w:cs="Arial"/>
          <w:sz w:val="20"/>
        </w:rPr>
        <w:t xml:space="preserve"> млн</w:t>
      </w:r>
      <w:r w:rsidRPr="00C813F8">
        <w:rPr>
          <w:rFonts w:ascii="Calibri" w:hAnsi="Calibri" w:cs="Arial"/>
          <w:sz w:val="20"/>
        </w:rPr>
        <w:t xml:space="preserve">. человек, </w:t>
      </w:r>
      <w:r w:rsidRPr="006E7B5B">
        <w:rPr>
          <w:rFonts w:ascii="Calibri" w:hAnsi="Calibri" w:cs="Arial"/>
          <w:sz w:val="20"/>
        </w:rPr>
        <w:t>это 8</w:t>
      </w:r>
      <w:r>
        <w:rPr>
          <w:rFonts w:ascii="Calibri" w:hAnsi="Calibri" w:cs="Arial"/>
          <w:sz w:val="20"/>
          <w:lang w:val="kk-KZ"/>
        </w:rPr>
        <w:t>1,7</w:t>
      </w:r>
      <w:r w:rsidRPr="006E7B5B">
        <w:rPr>
          <w:rFonts w:ascii="Calibri" w:hAnsi="Calibri" w:cs="Arial"/>
          <w:sz w:val="20"/>
        </w:rPr>
        <w:t>% от</w:t>
      </w:r>
      <w:r w:rsidRPr="00C813F8">
        <w:rPr>
          <w:rFonts w:ascii="Calibri" w:hAnsi="Calibri" w:cs="Arial"/>
          <w:sz w:val="20"/>
        </w:rPr>
        <w:t xml:space="preserve"> занятого населения. Доля </w:t>
      </w:r>
      <w:r w:rsidRPr="00FE0A24">
        <w:rPr>
          <w:rFonts w:ascii="Calibri" w:hAnsi="Calibri" w:cs="Arial"/>
          <w:sz w:val="20"/>
        </w:rPr>
        <w:t>занятых</w:t>
      </w:r>
      <w:r>
        <w:rPr>
          <w:rFonts w:ascii="Calibri" w:hAnsi="Calibri" w:cs="Arial"/>
          <w:sz w:val="20"/>
          <w:lang w:val="kk-KZ"/>
        </w:rPr>
        <w:t xml:space="preserve"> </w:t>
      </w:r>
      <w:r w:rsidRPr="00D12F78">
        <w:rPr>
          <w:rFonts w:ascii="Calibri" w:hAnsi="Calibri" w:cs="Arial"/>
          <w:sz w:val="20"/>
        </w:rPr>
        <w:t>женщин, имеющих высшее и среднее профессиональное образование выше по сравнению с долей занятых мужчин</w:t>
      </w:r>
      <w:r w:rsidRPr="00D12F78">
        <w:rPr>
          <w:rFonts w:ascii="Calibri" w:hAnsi="Calibri" w:cs="Arial"/>
          <w:sz w:val="20"/>
          <w:lang w:val="kk-KZ"/>
        </w:rPr>
        <w:t xml:space="preserve"> на </w:t>
      </w:r>
      <w:r>
        <w:rPr>
          <w:rFonts w:ascii="Calibri" w:hAnsi="Calibri" w:cs="Arial"/>
          <w:sz w:val="20"/>
          <w:lang w:val="kk-KZ"/>
        </w:rPr>
        <w:t>5,7</w:t>
      </w:r>
      <w:r w:rsidRPr="00574967">
        <w:rPr>
          <w:rFonts w:ascii="Calibri" w:hAnsi="Calibri" w:cs="Arial"/>
          <w:sz w:val="20"/>
          <w:lang w:val="kk-KZ"/>
        </w:rPr>
        <w:t xml:space="preserve"> </w:t>
      </w:r>
      <w:r w:rsidRPr="00574967">
        <w:rPr>
          <w:rFonts w:ascii="Calibri" w:hAnsi="Calibri" w:cs="Arial"/>
          <w:sz w:val="20"/>
        </w:rPr>
        <w:t>пп</w:t>
      </w:r>
      <w:r w:rsidRPr="00DF3D53">
        <w:rPr>
          <w:rFonts w:ascii="Calibri" w:hAnsi="Calibri" w:cs="Arial"/>
          <w:color w:val="FF0000"/>
          <w:sz w:val="20"/>
        </w:rPr>
        <w:t>.</w:t>
      </w:r>
      <w:r w:rsidRPr="00364CFA">
        <w:rPr>
          <w:rFonts w:ascii="Calibri" w:hAnsi="Calibri" w:cs="Arial"/>
          <w:sz w:val="20"/>
        </w:rPr>
        <w:t xml:space="preserve"> </w:t>
      </w:r>
      <w:r>
        <w:rPr>
          <w:rFonts w:ascii="Calibri" w:hAnsi="Calibri" w:cs="Arial"/>
          <w:sz w:val="20"/>
        </w:rPr>
        <w:t xml:space="preserve">Основную долю занятого населения </w:t>
      </w:r>
      <w:r w:rsidRPr="006E7B5B">
        <w:rPr>
          <w:rFonts w:ascii="Calibri" w:hAnsi="Calibri" w:cs="Arial"/>
          <w:sz w:val="20"/>
        </w:rPr>
        <w:t>– 6</w:t>
      </w:r>
      <w:r>
        <w:rPr>
          <w:rFonts w:ascii="Calibri" w:hAnsi="Calibri" w:cs="Arial"/>
          <w:sz w:val="20"/>
        </w:rPr>
        <w:t>4,5</w:t>
      </w:r>
      <w:r w:rsidRPr="006E7B5B">
        <w:rPr>
          <w:rFonts w:ascii="Calibri" w:hAnsi="Calibri" w:cs="Arial"/>
          <w:sz w:val="20"/>
        </w:rPr>
        <w:t>% (5,</w:t>
      </w:r>
      <w:r>
        <w:rPr>
          <w:rFonts w:ascii="Calibri" w:hAnsi="Calibri" w:cs="Arial"/>
          <w:sz w:val="20"/>
          <w:lang w:val="kk-KZ"/>
        </w:rPr>
        <w:t>6</w:t>
      </w:r>
      <w:r>
        <w:rPr>
          <w:rFonts w:ascii="Calibri" w:hAnsi="Calibri" w:cs="Arial"/>
          <w:sz w:val="20"/>
        </w:rPr>
        <w:t xml:space="preserve"> млн. человек) составляли лица в возрасте 29-54 года.</w:t>
      </w:r>
    </w:p>
    <w:p w:rsidR="00AF1D0C" w:rsidRPr="00EB1F81" w:rsidRDefault="00AF1D0C" w:rsidP="00AF1D0C">
      <w:pPr>
        <w:pStyle w:val="af5"/>
        <w:spacing w:before="0"/>
        <w:ind w:firstLine="708"/>
        <w:rPr>
          <w:rFonts w:ascii="Calibri" w:hAnsi="Calibri" w:cs="Arial"/>
          <w:sz w:val="20"/>
        </w:rPr>
      </w:pPr>
      <w:r w:rsidRPr="00EB1F81">
        <w:rPr>
          <w:rFonts w:ascii="Calibri" w:hAnsi="Calibri" w:cs="Arial"/>
          <w:sz w:val="20"/>
        </w:rPr>
        <w:t xml:space="preserve">Численность безработных (лица в возрасте 15 лет и старше, которые не имели доходного занятия, активно его искали и были готовы приступить к нему) в </w:t>
      </w:r>
      <w:r w:rsidRPr="0002118A">
        <w:rPr>
          <w:rFonts w:ascii="Calibri" w:hAnsi="Calibri"/>
          <w:sz w:val="20"/>
          <w:lang w:val="en-US"/>
        </w:rPr>
        <w:t>II</w:t>
      </w:r>
      <w:r>
        <w:rPr>
          <w:rFonts w:ascii="Calibri" w:hAnsi="Calibri"/>
          <w:sz w:val="20"/>
          <w:lang w:val="en-US"/>
        </w:rPr>
        <w:t>I</w:t>
      </w:r>
      <w:r w:rsidRPr="00EB1F81">
        <w:rPr>
          <w:rFonts w:ascii="Calibri" w:hAnsi="Calibri" w:cs="Arial"/>
          <w:sz w:val="20"/>
        </w:rPr>
        <w:t xml:space="preserve"> квартале 20</w:t>
      </w:r>
      <w:r>
        <w:rPr>
          <w:rFonts w:ascii="Calibri" w:hAnsi="Calibri" w:cs="Arial"/>
          <w:sz w:val="20"/>
        </w:rPr>
        <w:t>20</w:t>
      </w:r>
      <w:r w:rsidRPr="00EB1F81">
        <w:rPr>
          <w:rFonts w:ascii="Calibri" w:hAnsi="Calibri" w:cs="Arial"/>
          <w:sz w:val="20"/>
        </w:rPr>
        <w:t xml:space="preserve"> года составил</w:t>
      </w:r>
      <w:r w:rsidRPr="00C3182F">
        <w:rPr>
          <w:rFonts w:ascii="Calibri" w:hAnsi="Calibri" w:cs="Arial"/>
          <w:sz w:val="20"/>
        </w:rPr>
        <w:t xml:space="preserve">а </w:t>
      </w:r>
      <w:r w:rsidRPr="00C3182F">
        <w:rPr>
          <w:rFonts w:ascii="Calibri" w:hAnsi="Calibri" w:cs="Arial"/>
          <w:sz w:val="20"/>
          <w:lang w:val="kk-KZ"/>
        </w:rPr>
        <w:t>4</w:t>
      </w:r>
      <w:r w:rsidRPr="009819B8">
        <w:rPr>
          <w:rFonts w:ascii="Calibri" w:hAnsi="Calibri" w:cs="Arial"/>
          <w:sz w:val="20"/>
        </w:rPr>
        <w:t>54</w:t>
      </w:r>
      <w:r>
        <w:rPr>
          <w:rFonts w:ascii="Calibri" w:hAnsi="Calibri" w:cs="Arial"/>
          <w:sz w:val="20"/>
        </w:rPr>
        <w:t>,8</w:t>
      </w:r>
      <w:r w:rsidRPr="00C3182F">
        <w:rPr>
          <w:rFonts w:ascii="Calibri" w:hAnsi="Calibri" w:cs="Arial"/>
          <w:sz w:val="20"/>
        </w:rPr>
        <w:t xml:space="preserve"> тыс</w:t>
      </w:r>
      <w:r>
        <w:rPr>
          <w:rFonts w:ascii="Calibri" w:hAnsi="Calibri" w:cs="Arial"/>
          <w:sz w:val="20"/>
        </w:rPr>
        <w:t xml:space="preserve">. </w:t>
      </w:r>
      <w:r w:rsidRPr="00EB1F81">
        <w:rPr>
          <w:rFonts w:ascii="Calibri" w:hAnsi="Calibri" w:cs="Arial"/>
          <w:sz w:val="20"/>
        </w:rPr>
        <w:t xml:space="preserve">человек. Уровень безработицы сложился на </w:t>
      </w:r>
      <w:r w:rsidRPr="00C3182F">
        <w:rPr>
          <w:rFonts w:ascii="Calibri" w:hAnsi="Calibri" w:cs="Arial"/>
          <w:sz w:val="20"/>
        </w:rPr>
        <w:t xml:space="preserve">уровне </w:t>
      </w:r>
      <w:r w:rsidRPr="00AE78D2">
        <w:rPr>
          <w:rFonts w:ascii="Calibri" w:hAnsi="Calibri" w:cs="Arial"/>
          <w:sz w:val="20"/>
        </w:rPr>
        <w:t>5</w:t>
      </w:r>
      <w:r w:rsidRPr="00C3182F">
        <w:rPr>
          <w:rFonts w:ascii="Calibri" w:hAnsi="Calibri" w:cs="Arial"/>
          <w:sz w:val="20"/>
        </w:rPr>
        <w:t xml:space="preserve">% (в </w:t>
      </w:r>
      <w:r>
        <w:rPr>
          <w:rFonts w:ascii="Calibri" w:hAnsi="Calibri" w:cs="Arial"/>
          <w:sz w:val="20"/>
          <w:lang w:val="en-US"/>
        </w:rPr>
        <w:t>I</w:t>
      </w:r>
      <w:r w:rsidRPr="0002118A">
        <w:rPr>
          <w:rFonts w:ascii="Calibri" w:hAnsi="Calibri"/>
          <w:sz w:val="20"/>
          <w:lang w:val="en-US"/>
        </w:rPr>
        <w:t>I</w:t>
      </w:r>
      <w:r w:rsidRPr="00C3182F">
        <w:rPr>
          <w:rFonts w:ascii="Calibri" w:hAnsi="Calibri"/>
          <w:sz w:val="20"/>
          <w:lang w:val="en-US"/>
        </w:rPr>
        <w:t>I</w:t>
      </w:r>
      <w:r w:rsidRPr="00EB1F81">
        <w:rPr>
          <w:rFonts w:ascii="Calibri" w:hAnsi="Calibri" w:cs="Arial"/>
          <w:sz w:val="20"/>
        </w:rPr>
        <w:t xml:space="preserve"> квартале </w:t>
      </w:r>
      <w:r w:rsidRPr="00C3182F">
        <w:rPr>
          <w:rFonts w:ascii="Calibri" w:hAnsi="Calibri" w:cs="Arial"/>
          <w:sz w:val="20"/>
        </w:rPr>
        <w:t>2019г</w:t>
      </w:r>
      <w:r w:rsidRPr="001615F2">
        <w:rPr>
          <w:rFonts w:ascii="Calibri" w:hAnsi="Calibri" w:cs="Arial"/>
          <w:sz w:val="20"/>
        </w:rPr>
        <w:t>. – 4,8%).</w:t>
      </w:r>
    </w:p>
    <w:p w:rsidR="00AF1D0C" w:rsidRDefault="00AF1D0C" w:rsidP="00AF1D0C">
      <w:pPr>
        <w:pStyle w:val="a5"/>
        <w:ind w:firstLine="708"/>
        <w:rPr>
          <w:rFonts w:ascii="Calibri" w:hAnsi="Calibri"/>
          <w:noProof w:val="0"/>
        </w:rPr>
      </w:pPr>
      <w:r w:rsidRPr="003C6762">
        <w:rPr>
          <w:rFonts w:ascii="Calibri" w:hAnsi="Calibri" w:cs="Arial"/>
        </w:rPr>
        <w:t xml:space="preserve">Доля мужчин в </w:t>
      </w:r>
      <w:r w:rsidRPr="000A1FD7">
        <w:rPr>
          <w:rFonts w:ascii="Calibri" w:hAnsi="Calibri" w:cs="Arial"/>
        </w:rPr>
        <w:t xml:space="preserve">численности безработных в </w:t>
      </w:r>
      <w:r w:rsidRPr="000A1FD7">
        <w:rPr>
          <w:rFonts w:ascii="Calibri" w:hAnsi="Calibri"/>
          <w:lang w:val="en-US"/>
        </w:rPr>
        <w:t>I</w:t>
      </w:r>
      <w:r>
        <w:rPr>
          <w:rFonts w:ascii="Calibri" w:hAnsi="Calibri"/>
          <w:lang w:val="en-US"/>
        </w:rPr>
        <w:t>I</w:t>
      </w:r>
      <w:r w:rsidRPr="0002118A">
        <w:rPr>
          <w:rFonts w:ascii="Calibri" w:hAnsi="Calibri"/>
          <w:lang w:val="en-US"/>
        </w:rPr>
        <w:t>I</w:t>
      </w:r>
      <w:r w:rsidRPr="000A1FD7">
        <w:rPr>
          <w:rFonts w:ascii="Calibri" w:hAnsi="Calibri" w:cs="Arial"/>
        </w:rPr>
        <w:t xml:space="preserve"> квартале 2020 года составила </w:t>
      </w:r>
      <w:r w:rsidRPr="000A1FD7">
        <w:rPr>
          <w:rFonts w:ascii="Calibri" w:hAnsi="Calibri" w:cs="Arial"/>
          <w:lang w:val="kk-KZ"/>
        </w:rPr>
        <w:t>4</w:t>
      </w:r>
      <w:r>
        <w:rPr>
          <w:rFonts w:ascii="Calibri" w:hAnsi="Calibri" w:cs="Arial"/>
          <w:lang w:val="kk-KZ"/>
        </w:rPr>
        <w:t>5,2</w:t>
      </w:r>
      <w:r w:rsidRPr="000A1FD7">
        <w:rPr>
          <w:rFonts w:ascii="Calibri" w:hAnsi="Calibri" w:cs="Arial"/>
        </w:rPr>
        <w:t>% (2</w:t>
      </w:r>
      <w:r>
        <w:rPr>
          <w:rFonts w:ascii="Calibri" w:hAnsi="Calibri" w:cs="Arial"/>
        </w:rPr>
        <w:t>05,4</w:t>
      </w:r>
      <w:r w:rsidRPr="000A1FD7">
        <w:rPr>
          <w:rFonts w:ascii="Calibri" w:hAnsi="Calibri" w:cs="Arial"/>
        </w:rPr>
        <w:t xml:space="preserve"> тысяч человек),  женщин </w:t>
      </w:r>
      <w:r w:rsidRPr="000A1FD7">
        <w:rPr>
          <w:rFonts w:ascii="Calibri" w:hAnsi="Calibri"/>
          <w:lang w:val="kk-KZ"/>
        </w:rPr>
        <w:t>–</w:t>
      </w:r>
      <w:r w:rsidRPr="000A1FD7">
        <w:rPr>
          <w:rFonts w:ascii="Calibri" w:hAnsi="Calibri" w:cs="Arial"/>
        </w:rPr>
        <w:t xml:space="preserve"> </w:t>
      </w:r>
      <w:r w:rsidRPr="000A1FD7">
        <w:rPr>
          <w:rFonts w:ascii="Calibri" w:hAnsi="Calibri" w:cs="Arial"/>
          <w:lang w:val="kk-KZ"/>
        </w:rPr>
        <w:t>5</w:t>
      </w:r>
      <w:r>
        <w:rPr>
          <w:rFonts w:ascii="Calibri" w:hAnsi="Calibri" w:cs="Arial"/>
          <w:lang w:val="kk-KZ"/>
        </w:rPr>
        <w:t>4,8</w:t>
      </w:r>
      <w:r w:rsidRPr="000A1FD7">
        <w:rPr>
          <w:rFonts w:ascii="Calibri" w:hAnsi="Calibri" w:cs="Arial"/>
        </w:rPr>
        <w:t>% (</w:t>
      </w:r>
      <w:r w:rsidRPr="000A1FD7">
        <w:rPr>
          <w:rFonts w:ascii="Calibri" w:hAnsi="Calibri" w:cs="Arial"/>
          <w:lang w:val="kk-KZ"/>
        </w:rPr>
        <w:t>2</w:t>
      </w:r>
      <w:r>
        <w:rPr>
          <w:rFonts w:ascii="Calibri" w:hAnsi="Calibri" w:cs="Arial"/>
          <w:lang w:val="kk-KZ"/>
        </w:rPr>
        <w:t>49,4</w:t>
      </w:r>
      <w:r w:rsidRPr="003C6762">
        <w:rPr>
          <w:rFonts w:ascii="Calibri" w:hAnsi="Calibri" w:cs="Arial"/>
        </w:rPr>
        <w:t xml:space="preserve"> тыс</w:t>
      </w:r>
      <w:r w:rsidRPr="003C6762">
        <w:rPr>
          <w:rFonts w:ascii="Calibri" w:hAnsi="Calibri" w:cs="Arial"/>
          <w:lang w:val="kk-KZ"/>
        </w:rPr>
        <w:t>яч</w:t>
      </w:r>
      <w:r w:rsidRPr="003C6762">
        <w:rPr>
          <w:rFonts w:ascii="Calibri" w:hAnsi="Calibri" w:cs="Arial"/>
        </w:rPr>
        <w:t xml:space="preserve"> человек). </w:t>
      </w:r>
      <w:r w:rsidRPr="003C6762">
        <w:rPr>
          <w:rFonts w:ascii="Calibri" w:hAnsi="Calibri"/>
          <w:noProof w:val="0"/>
        </w:rPr>
        <w:t xml:space="preserve">В </w:t>
      </w:r>
      <w:r w:rsidRPr="003C6762">
        <w:rPr>
          <w:rFonts w:ascii="Calibri" w:hAnsi="Calibri"/>
        </w:rPr>
        <w:t>общем числе безработных доля молод</w:t>
      </w:r>
      <w:r w:rsidRPr="003C6762">
        <w:rPr>
          <w:rFonts w:ascii="Calibri" w:hAnsi="Calibri"/>
          <w:noProof w:val="0"/>
        </w:rPr>
        <w:t>ежи</w:t>
      </w:r>
      <w:r w:rsidRPr="003C6762">
        <w:rPr>
          <w:rFonts w:ascii="Calibri" w:hAnsi="Calibri"/>
        </w:rPr>
        <w:t xml:space="preserve"> в возрасте 15-28 лет</w:t>
      </w:r>
      <w:r w:rsidRPr="003C6762">
        <w:rPr>
          <w:rFonts w:ascii="Calibri" w:hAnsi="Calibri"/>
          <w:noProof w:val="0"/>
        </w:rPr>
        <w:t xml:space="preserve"> </w:t>
      </w:r>
      <w:r w:rsidRPr="000A1FD7">
        <w:rPr>
          <w:rFonts w:ascii="Calibri" w:hAnsi="Calibri"/>
        </w:rPr>
        <w:t xml:space="preserve">составила </w:t>
      </w:r>
      <w:r w:rsidRPr="000A1FD7">
        <w:rPr>
          <w:rFonts w:ascii="Calibri" w:hAnsi="Calibri"/>
          <w:lang w:val="kk-KZ"/>
        </w:rPr>
        <w:t>1</w:t>
      </w:r>
      <w:r w:rsidRPr="00F0516D">
        <w:rPr>
          <w:rFonts w:ascii="Calibri" w:hAnsi="Calibri"/>
        </w:rPr>
        <w:t>8</w:t>
      </w:r>
      <w:r w:rsidRPr="000A1FD7">
        <w:rPr>
          <w:rFonts w:ascii="Calibri" w:hAnsi="Calibri"/>
          <w:lang w:val="kk-KZ"/>
        </w:rPr>
        <w:t>,</w:t>
      </w:r>
      <w:r>
        <w:rPr>
          <w:rFonts w:ascii="Calibri" w:hAnsi="Calibri"/>
          <w:lang w:val="kk-KZ"/>
        </w:rPr>
        <w:t>3</w:t>
      </w:r>
      <w:r w:rsidRPr="000A1FD7">
        <w:rPr>
          <w:rFonts w:ascii="Calibri" w:hAnsi="Calibri"/>
        </w:rPr>
        <w:t xml:space="preserve">% или </w:t>
      </w:r>
      <w:r>
        <w:rPr>
          <w:rFonts w:ascii="Calibri" w:hAnsi="Calibri"/>
        </w:rPr>
        <w:t>83,3</w:t>
      </w:r>
      <w:r w:rsidRPr="000A1FD7">
        <w:rPr>
          <w:rFonts w:ascii="Calibri" w:hAnsi="Calibri"/>
        </w:rPr>
        <w:t xml:space="preserve"> тыс</w:t>
      </w:r>
      <w:r w:rsidRPr="000A1FD7">
        <w:rPr>
          <w:rFonts w:ascii="Calibri" w:hAnsi="Calibri"/>
          <w:lang w:val="kk-KZ"/>
        </w:rPr>
        <w:t>яч</w:t>
      </w:r>
      <w:r w:rsidRPr="003C6762">
        <w:rPr>
          <w:rFonts w:ascii="Calibri" w:hAnsi="Calibri"/>
        </w:rPr>
        <w:t xml:space="preserve"> человек.</w:t>
      </w:r>
      <w:r w:rsidRPr="003C6762">
        <w:rPr>
          <w:rFonts w:ascii="Calibri" w:hAnsi="Calibri"/>
          <w:noProof w:val="0"/>
        </w:rPr>
        <w:t xml:space="preserve"> </w:t>
      </w:r>
      <w:r w:rsidRPr="003C6762">
        <w:rPr>
          <w:rFonts w:ascii="Calibri" w:hAnsi="Calibri"/>
        </w:rPr>
        <w:t>Уровень молодежной безработицы</w:t>
      </w:r>
      <w:r w:rsidRPr="003C6762">
        <w:rPr>
          <w:rFonts w:ascii="Calibri" w:hAnsi="Calibri"/>
          <w:sz w:val="22"/>
        </w:rPr>
        <w:t xml:space="preserve"> </w:t>
      </w:r>
      <w:r w:rsidRPr="003C6762">
        <w:rPr>
          <w:rFonts w:ascii="Calibri" w:hAnsi="Calibri"/>
        </w:rPr>
        <w:t>в возрасте 15-28 лет</w:t>
      </w:r>
      <w:r w:rsidRPr="003C6762">
        <w:rPr>
          <w:rFonts w:ascii="Calibri" w:hAnsi="Calibri"/>
          <w:noProof w:val="0"/>
        </w:rPr>
        <w:t xml:space="preserve"> сложился </w:t>
      </w:r>
      <w:r w:rsidRPr="00FC7648">
        <w:rPr>
          <w:rFonts w:ascii="Calibri" w:hAnsi="Calibri"/>
          <w:noProof w:val="0"/>
        </w:rPr>
        <w:t>в</w:t>
      </w:r>
      <w:r w:rsidRPr="00FC7648">
        <w:rPr>
          <w:rFonts w:ascii="Calibri" w:hAnsi="Calibri"/>
        </w:rPr>
        <w:t xml:space="preserve"> </w:t>
      </w:r>
      <w:r w:rsidRPr="00FC7648">
        <w:rPr>
          <w:rFonts w:ascii="Calibri" w:hAnsi="Calibri"/>
          <w:noProof w:val="0"/>
        </w:rPr>
        <w:t xml:space="preserve">– </w:t>
      </w:r>
      <w:r>
        <w:rPr>
          <w:rFonts w:ascii="Calibri" w:hAnsi="Calibri"/>
          <w:noProof w:val="0"/>
        </w:rPr>
        <w:t>3,9</w:t>
      </w:r>
      <w:r w:rsidRPr="00FC7648">
        <w:rPr>
          <w:rFonts w:ascii="Calibri" w:hAnsi="Calibri"/>
        </w:rPr>
        <w:t>%</w:t>
      </w:r>
      <w:r w:rsidRPr="00FC7648">
        <w:rPr>
          <w:rFonts w:ascii="Calibri" w:hAnsi="Calibri"/>
          <w:noProof w:val="0"/>
        </w:rPr>
        <w:t>.</w:t>
      </w:r>
    </w:p>
    <w:p w:rsidR="00272988" w:rsidRDefault="00272988" w:rsidP="00AF1D0C">
      <w:pPr>
        <w:pStyle w:val="a5"/>
        <w:ind w:firstLine="708"/>
        <w:rPr>
          <w:rFonts w:ascii="Calibri" w:hAnsi="Calibri"/>
          <w:noProof w:val="0"/>
        </w:rPr>
      </w:pPr>
    </w:p>
    <w:p w:rsidR="00272988" w:rsidRDefault="00272988" w:rsidP="00AF1D0C">
      <w:pPr>
        <w:pStyle w:val="a5"/>
        <w:ind w:firstLine="708"/>
        <w:rPr>
          <w:rFonts w:ascii="Calibri" w:hAnsi="Calibri"/>
          <w:noProof w:val="0"/>
        </w:rPr>
      </w:pPr>
    </w:p>
    <w:p w:rsidR="00272988" w:rsidRPr="001429E7" w:rsidRDefault="00272988" w:rsidP="00AF1D0C">
      <w:pPr>
        <w:pStyle w:val="a5"/>
        <w:ind w:firstLine="708"/>
        <w:rPr>
          <w:rFonts w:ascii="Calibri" w:hAnsi="Calibri" w:cs="Arial"/>
          <w:noProof w:val="0"/>
          <w:sz w:val="16"/>
          <w:szCs w:val="16"/>
          <w:lang w:val="kk-KZ"/>
        </w:rPr>
      </w:pPr>
    </w:p>
    <w:p w:rsidR="00847F3E" w:rsidRPr="00AE7DB5" w:rsidRDefault="00847F3E" w:rsidP="00847F3E">
      <w:pPr>
        <w:pStyle w:val="a3"/>
        <w:numPr>
          <w:ilvl w:val="0"/>
          <w:numId w:val="2"/>
        </w:numPr>
        <w:tabs>
          <w:tab w:val="left" w:pos="284"/>
          <w:tab w:val="left" w:pos="567"/>
        </w:tabs>
        <w:spacing w:after="0" w:line="240" w:lineRule="auto"/>
        <w:jc w:val="both"/>
        <w:rPr>
          <w:rFonts w:cs="Times New Roman"/>
          <w:b/>
          <w:color w:val="1F4E79" w:themeColor="accent1" w:themeShade="80"/>
          <w:sz w:val="20"/>
          <w:szCs w:val="20"/>
        </w:rPr>
      </w:pPr>
      <w:r w:rsidRPr="00AE7DB5">
        <w:rPr>
          <w:rFonts w:cs="Times New Roman"/>
          <w:b/>
          <w:color w:val="1F4E79" w:themeColor="accent1" w:themeShade="80"/>
          <w:sz w:val="20"/>
          <w:szCs w:val="20"/>
        </w:rPr>
        <w:t>Жилищное строительство</w:t>
      </w:r>
    </w:p>
    <w:p w:rsidR="00847F3E" w:rsidRPr="00AE7DB5" w:rsidRDefault="00847F3E" w:rsidP="00C50199">
      <w:pPr>
        <w:pStyle w:val="a3"/>
        <w:tabs>
          <w:tab w:val="left" w:pos="426"/>
          <w:tab w:val="left" w:pos="567"/>
        </w:tabs>
        <w:spacing w:line="240" w:lineRule="auto"/>
        <w:ind w:left="0"/>
        <w:jc w:val="both"/>
        <w:rPr>
          <w:rFonts w:cs="Times New Roman"/>
          <w:b/>
          <w:sz w:val="20"/>
          <w:szCs w:val="20"/>
        </w:rPr>
      </w:pPr>
    </w:p>
    <w:p w:rsidR="00C50199" w:rsidRPr="00AE7DB5" w:rsidRDefault="00C50199" w:rsidP="00E50DEA">
      <w:pPr>
        <w:pStyle w:val="a3"/>
        <w:tabs>
          <w:tab w:val="left" w:pos="426"/>
          <w:tab w:val="left" w:pos="567"/>
        </w:tabs>
        <w:spacing w:after="0" w:line="240" w:lineRule="auto"/>
        <w:ind w:left="0"/>
        <w:jc w:val="center"/>
        <w:rPr>
          <w:rFonts w:cs="Times New Roman"/>
          <w:b/>
          <w:sz w:val="20"/>
          <w:szCs w:val="20"/>
        </w:rPr>
      </w:pPr>
      <w:r w:rsidRPr="00AE7DB5">
        <w:rPr>
          <w:rFonts w:cs="Times New Roman"/>
          <w:b/>
          <w:sz w:val="20"/>
          <w:szCs w:val="20"/>
        </w:rPr>
        <w:t xml:space="preserve">Объем ввода </w:t>
      </w:r>
      <w:r w:rsidR="00EA0CCD" w:rsidRPr="00AE7DB5">
        <w:rPr>
          <w:rFonts w:cs="Times New Roman"/>
          <w:b/>
          <w:sz w:val="20"/>
          <w:szCs w:val="20"/>
        </w:rPr>
        <w:t>в эксплуатацию жилых зданий</w:t>
      </w:r>
    </w:p>
    <w:p w:rsidR="00272988" w:rsidRPr="00272988" w:rsidRDefault="00272988" w:rsidP="00272988">
      <w:pPr>
        <w:pStyle w:val="af5"/>
        <w:spacing w:before="0"/>
        <w:ind w:firstLine="708"/>
        <w:rPr>
          <w:rFonts w:ascii="Calibri" w:hAnsi="Calibri" w:cs="Arial"/>
          <w:sz w:val="20"/>
        </w:rPr>
      </w:pPr>
      <w:r>
        <w:rPr>
          <w:rFonts w:ascii="Calibri" w:hAnsi="Calibri" w:cs="Arial"/>
          <w:sz w:val="20"/>
        </w:rPr>
        <w:t>В январе-дека</w:t>
      </w:r>
      <w:r w:rsidRPr="00272988">
        <w:rPr>
          <w:rFonts w:ascii="Calibri" w:hAnsi="Calibri" w:cs="Arial"/>
          <w:sz w:val="20"/>
        </w:rPr>
        <w:t xml:space="preserve">бре </w:t>
      </w:r>
      <w:r w:rsidRPr="00AD5465">
        <w:rPr>
          <w:rFonts w:ascii="Calibri" w:hAnsi="Calibri" w:cs="Arial"/>
          <w:sz w:val="20"/>
        </w:rPr>
        <w:t>20</w:t>
      </w:r>
      <w:r>
        <w:rPr>
          <w:rFonts w:ascii="Calibri" w:hAnsi="Calibri" w:cs="Arial"/>
          <w:sz w:val="20"/>
        </w:rPr>
        <w:t>20г</w:t>
      </w:r>
      <w:r w:rsidRPr="00272988">
        <w:rPr>
          <w:rFonts w:ascii="Calibri" w:hAnsi="Calibri" w:cs="Arial"/>
          <w:sz w:val="20"/>
        </w:rPr>
        <w:t>.</w:t>
      </w:r>
      <w:r w:rsidRPr="00AD5465">
        <w:rPr>
          <w:rFonts w:ascii="Calibri" w:hAnsi="Calibri" w:cs="Arial"/>
          <w:sz w:val="20"/>
        </w:rPr>
        <w:t xml:space="preserve"> </w:t>
      </w:r>
      <w:r w:rsidRPr="00272988">
        <w:rPr>
          <w:rFonts w:ascii="Calibri" w:hAnsi="Calibri" w:cs="Arial"/>
          <w:sz w:val="20"/>
        </w:rPr>
        <w:t>на</w:t>
      </w:r>
      <w:r w:rsidRPr="00AD5465">
        <w:rPr>
          <w:rFonts w:ascii="Calibri" w:hAnsi="Calibri" w:cs="Arial"/>
          <w:sz w:val="20"/>
        </w:rPr>
        <w:t xml:space="preserve"> строительство ж</w:t>
      </w:r>
      <w:r>
        <w:rPr>
          <w:rFonts w:ascii="Calibri" w:hAnsi="Calibri" w:cs="Arial"/>
          <w:sz w:val="20"/>
        </w:rPr>
        <w:t>и</w:t>
      </w:r>
      <w:r w:rsidRPr="00AD5465">
        <w:rPr>
          <w:rFonts w:ascii="Calibri" w:hAnsi="Calibri" w:cs="Arial"/>
          <w:sz w:val="20"/>
        </w:rPr>
        <w:t xml:space="preserve">лья было направлено </w:t>
      </w:r>
      <w:r w:rsidRPr="00272988">
        <w:rPr>
          <w:rFonts w:ascii="Calibri" w:hAnsi="Calibri" w:cs="Arial"/>
          <w:sz w:val="20"/>
        </w:rPr>
        <w:t>1968 млрд</w:t>
      </w:r>
      <w:r w:rsidRPr="00AD5465">
        <w:rPr>
          <w:rFonts w:ascii="Calibri" w:hAnsi="Calibri" w:cs="Arial"/>
          <w:sz w:val="20"/>
        </w:rPr>
        <w:t>.</w:t>
      </w:r>
      <w:r w:rsidRPr="00272988">
        <w:rPr>
          <w:rFonts w:ascii="Calibri" w:hAnsi="Calibri" w:cs="Arial"/>
          <w:sz w:val="20"/>
        </w:rPr>
        <w:t xml:space="preserve"> </w:t>
      </w:r>
      <w:r w:rsidRPr="00AD5465">
        <w:rPr>
          <w:rFonts w:ascii="Calibri" w:hAnsi="Calibri" w:cs="Arial"/>
          <w:sz w:val="20"/>
        </w:rPr>
        <w:t xml:space="preserve">тенге, что </w:t>
      </w:r>
      <w:r w:rsidRPr="00272988">
        <w:rPr>
          <w:rFonts w:ascii="Calibri" w:hAnsi="Calibri" w:cs="Arial"/>
          <w:sz w:val="20"/>
        </w:rPr>
        <w:t xml:space="preserve">на </w:t>
      </w:r>
      <w:r>
        <w:rPr>
          <w:rFonts w:ascii="Calibri" w:hAnsi="Calibri" w:cs="Arial"/>
          <w:sz w:val="20"/>
        </w:rPr>
        <w:t>33,6</w:t>
      </w:r>
      <w:r w:rsidRPr="00272988">
        <w:rPr>
          <w:rFonts w:ascii="Calibri" w:hAnsi="Calibri" w:cs="Arial"/>
          <w:sz w:val="20"/>
        </w:rPr>
        <w:t>% больше,</w:t>
      </w:r>
      <w:r w:rsidRPr="00AD5465">
        <w:rPr>
          <w:rFonts w:ascii="Calibri" w:hAnsi="Calibri" w:cs="Arial"/>
          <w:sz w:val="20"/>
        </w:rPr>
        <w:t xml:space="preserve"> чем в </w:t>
      </w:r>
      <w:r w:rsidRPr="00272988">
        <w:rPr>
          <w:rFonts w:ascii="Calibri" w:hAnsi="Calibri" w:cs="Arial"/>
          <w:sz w:val="20"/>
        </w:rPr>
        <w:t>2019</w:t>
      </w:r>
      <w:r w:rsidRPr="00AD5465">
        <w:rPr>
          <w:rFonts w:ascii="Calibri" w:hAnsi="Calibri" w:cs="Arial"/>
          <w:sz w:val="20"/>
        </w:rPr>
        <w:t>г.</w:t>
      </w:r>
    </w:p>
    <w:p w:rsidR="00272988" w:rsidRDefault="00272988" w:rsidP="00272988">
      <w:pPr>
        <w:pStyle w:val="af5"/>
        <w:spacing w:before="0"/>
        <w:ind w:firstLine="708"/>
        <w:rPr>
          <w:rFonts w:ascii="Calibri" w:hAnsi="Calibri" w:cs="Arial"/>
          <w:sz w:val="20"/>
        </w:rPr>
      </w:pPr>
      <w:r w:rsidRPr="00272988">
        <w:rPr>
          <w:rFonts w:ascii="Calibri" w:hAnsi="Calibri" w:cs="Arial"/>
          <w:sz w:val="20"/>
        </w:rPr>
        <w:t xml:space="preserve">В январе-декабре 2020г. было введено в эксплуатацию 15328,6 тыс. кв. м. общей площади жилых зданий. </w:t>
      </w:r>
    </w:p>
    <w:p w:rsidR="00D651D6" w:rsidRPr="00272988" w:rsidRDefault="00D651D6" w:rsidP="00272988">
      <w:pPr>
        <w:pStyle w:val="af5"/>
        <w:spacing w:before="0"/>
        <w:ind w:firstLine="708"/>
        <w:rPr>
          <w:rFonts w:ascii="Calibri" w:hAnsi="Calibri" w:cs="Arial"/>
          <w:sz w:val="20"/>
        </w:rPr>
      </w:pPr>
    </w:p>
    <w:p w:rsidR="00826A37" w:rsidRPr="00272988" w:rsidRDefault="00826A37" w:rsidP="00272988">
      <w:pPr>
        <w:pStyle w:val="af5"/>
        <w:spacing w:before="0"/>
        <w:ind w:firstLine="708"/>
        <w:rPr>
          <w:rFonts w:ascii="Calibri" w:hAnsi="Calibri" w:cs="Arial"/>
          <w:sz w:val="20"/>
        </w:rPr>
      </w:pPr>
      <w:r w:rsidRPr="00AE7DB5">
        <w:rPr>
          <w:i/>
          <w:noProof/>
          <w:sz w:val="20"/>
        </w:rPr>
        <w:drawing>
          <wp:inline distT="0" distB="0" distL="0" distR="0" wp14:anchorId="190173E3" wp14:editId="67C7871B">
            <wp:extent cx="5534025" cy="264795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199" w:rsidRPr="00AE7DB5" w:rsidRDefault="00D93F76" w:rsidP="00D93F76">
      <w:pPr>
        <w:tabs>
          <w:tab w:val="left" w:pos="284"/>
        </w:tabs>
        <w:spacing w:after="0" w:line="240" w:lineRule="auto"/>
        <w:ind w:left="284" w:hanging="284"/>
        <w:rPr>
          <w:rFonts w:cs="Times New Roman"/>
          <w:i/>
          <w:sz w:val="20"/>
          <w:szCs w:val="20"/>
        </w:rPr>
      </w:pPr>
      <w:r w:rsidRPr="00AE7DB5">
        <w:rPr>
          <w:rFonts w:cs="Times New Roman"/>
          <w:i/>
          <w:sz w:val="20"/>
          <w:szCs w:val="20"/>
        </w:rPr>
        <w:t xml:space="preserve">Источник: </w:t>
      </w:r>
      <w:r w:rsidR="003E68D8" w:rsidRPr="00AE7DB5">
        <w:rPr>
          <w:rFonts w:cs="Times New Roman"/>
          <w:i/>
          <w:sz w:val="20"/>
          <w:szCs w:val="20"/>
        </w:rPr>
        <w:t>Комитет по статистике МНЭ РК</w:t>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B86135" w:rsidRPr="00AE7DB5">
        <w:rPr>
          <w:rFonts w:cs="Times New Roman"/>
          <w:i/>
          <w:sz w:val="20"/>
          <w:szCs w:val="20"/>
        </w:rPr>
        <w:tab/>
      </w:r>
      <w:r w:rsidR="00C50199" w:rsidRPr="00AE7DB5">
        <w:rPr>
          <w:rFonts w:cs="Times New Roman"/>
          <w:i/>
          <w:sz w:val="20"/>
          <w:szCs w:val="20"/>
        </w:rPr>
        <w:t xml:space="preserve"> </w:t>
      </w:r>
      <w:r w:rsidR="00B86135" w:rsidRPr="00AE7DB5">
        <w:rPr>
          <w:rFonts w:cs="Times New Roman"/>
          <w:i/>
          <w:sz w:val="20"/>
          <w:szCs w:val="20"/>
        </w:rPr>
        <w:tab/>
      </w:r>
    </w:p>
    <w:p w:rsidR="00C10A97" w:rsidRPr="00AE7DB5" w:rsidRDefault="00C10A97" w:rsidP="00C10A97">
      <w:pPr>
        <w:pStyle w:val="a5"/>
        <w:ind w:firstLine="0"/>
        <w:rPr>
          <w:rFonts w:asciiTheme="minorHAnsi" w:eastAsiaTheme="minorHAnsi" w:hAnsiTheme="minorHAnsi"/>
          <w:bCs/>
          <w:noProof w:val="0"/>
          <w:lang w:eastAsia="en-US"/>
        </w:rPr>
      </w:pPr>
    </w:p>
    <w:p w:rsidR="00272988" w:rsidRPr="00272988" w:rsidRDefault="00272988" w:rsidP="00272988">
      <w:pPr>
        <w:pStyle w:val="af5"/>
        <w:spacing w:before="0"/>
        <w:ind w:firstLine="708"/>
        <w:rPr>
          <w:rFonts w:ascii="Calibri" w:hAnsi="Calibri" w:cs="Arial"/>
          <w:sz w:val="20"/>
        </w:rPr>
      </w:pPr>
      <w:r w:rsidRPr="00AD5465">
        <w:rPr>
          <w:rFonts w:ascii="Calibri" w:hAnsi="Calibri" w:cs="Arial"/>
          <w:sz w:val="20"/>
        </w:rPr>
        <w:t>Из общего количества жилых зданий введено</w:t>
      </w:r>
      <w:r>
        <w:rPr>
          <w:rFonts w:ascii="Calibri" w:hAnsi="Calibri" w:cs="Arial"/>
          <w:sz w:val="20"/>
        </w:rPr>
        <w:t xml:space="preserve"> </w:t>
      </w:r>
      <w:r w:rsidRPr="00AD5465">
        <w:rPr>
          <w:rFonts w:ascii="Calibri" w:hAnsi="Calibri" w:cs="Arial"/>
          <w:sz w:val="20"/>
        </w:rPr>
        <w:t>в</w:t>
      </w:r>
      <w:r>
        <w:rPr>
          <w:rFonts w:ascii="Calibri" w:hAnsi="Calibri" w:cs="Arial"/>
          <w:sz w:val="20"/>
        </w:rPr>
        <w:t xml:space="preserve"> </w:t>
      </w:r>
      <w:r w:rsidRPr="00AD5465">
        <w:rPr>
          <w:rFonts w:ascii="Calibri" w:hAnsi="Calibri" w:cs="Arial"/>
          <w:sz w:val="20"/>
        </w:rPr>
        <w:t xml:space="preserve">эксплуатацию индивидуальных </w:t>
      </w:r>
      <w:r>
        <w:rPr>
          <w:rFonts w:ascii="Calibri" w:hAnsi="Calibri" w:cs="Arial"/>
          <w:sz w:val="20"/>
        </w:rPr>
        <w:t>домов –</w:t>
      </w:r>
      <w:r w:rsidRPr="0037539A">
        <w:rPr>
          <w:rFonts w:ascii="Calibri" w:hAnsi="Calibri" w:cs="Arial"/>
          <w:sz w:val="20"/>
        </w:rPr>
        <w:t xml:space="preserve"> </w:t>
      </w:r>
      <w:r w:rsidRPr="009850C4">
        <w:rPr>
          <w:rFonts w:ascii="Calibri" w:hAnsi="Calibri" w:cs="Arial"/>
          <w:sz w:val="20"/>
        </w:rPr>
        <w:t>3</w:t>
      </w:r>
      <w:r>
        <w:rPr>
          <w:rFonts w:ascii="Calibri" w:hAnsi="Calibri" w:cs="Arial"/>
          <w:sz w:val="20"/>
        </w:rPr>
        <w:t>9302</w:t>
      </w:r>
      <w:r w:rsidRPr="00272988">
        <w:rPr>
          <w:rFonts w:ascii="Calibri" w:hAnsi="Calibri" w:cs="Arial"/>
          <w:sz w:val="20"/>
        </w:rPr>
        <w:t xml:space="preserve">, </w:t>
      </w:r>
      <w:r w:rsidRPr="00AD5465">
        <w:rPr>
          <w:rFonts w:ascii="Calibri" w:hAnsi="Calibri" w:cs="Arial"/>
          <w:sz w:val="20"/>
        </w:rPr>
        <w:t>многоквартирных</w:t>
      </w:r>
      <w:r>
        <w:rPr>
          <w:rFonts w:ascii="Calibri" w:hAnsi="Calibri" w:cs="Arial"/>
          <w:sz w:val="20"/>
        </w:rPr>
        <w:t xml:space="preserve"> </w:t>
      </w:r>
      <w:r w:rsidRPr="00AD5465">
        <w:rPr>
          <w:rFonts w:ascii="Calibri" w:hAnsi="Calibri" w:cs="Arial"/>
          <w:sz w:val="20"/>
        </w:rPr>
        <w:t>–</w:t>
      </w:r>
      <w:r>
        <w:rPr>
          <w:rFonts w:ascii="Calibri" w:hAnsi="Calibri" w:cs="Arial"/>
          <w:sz w:val="20"/>
        </w:rPr>
        <w:t xml:space="preserve"> 1588</w:t>
      </w:r>
      <w:r w:rsidRPr="00272988">
        <w:rPr>
          <w:rFonts w:ascii="Calibri" w:hAnsi="Calibri" w:cs="Arial"/>
          <w:sz w:val="20"/>
        </w:rPr>
        <w:t xml:space="preserve">, </w:t>
      </w:r>
      <w:r w:rsidRPr="00AA503B">
        <w:rPr>
          <w:rFonts w:ascii="Calibri" w:hAnsi="Calibri" w:cs="Arial"/>
          <w:sz w:val="20"/>
        </w:rPr>
        <w:t>организациями всех форм собственности построено</w:t>
      </w:r>
      <w:r>
        <w:rPr>
          <w:rFonts w:ascii="Calibri" w:hAnsi="Calibri" w:cs="Arial"/>
          <w:sz w:val="20"/>
        </w:rPr>
        <w:t xml:space="preserve"> 140,2 </w:t>
      </w:r>
      <w:r w:rsidRPr="00AA503B">
        <w:rPr>
          <w:rFonts w:ascii="Calibri" w:hAnsi="Calibri" w:cs="Arial"/>
          <w:sz w:val="20"/>
        </w:rPr>
        <w:t>тыс. квартир.</w:t>
      </w:r>
    </w:p>
    <w:p w:rsidR="00977D38" w:rsidRDefault="00272988" w:rsidP="00272988">
      <w:pPr>
        <w:tabs>
          <w:tab w:val="left" w:pos="284"/>
        </w:tabs>
        <w:spacing w:after="0" w:line="240" w:lineRule="auto"/>
        <w:ind w:firstLine="709"/>
        <w:jc w:val="both"/>
        <w:rPr>
          <w:rFonts w:ascii="Calibri" w:hAnsi="Calibri" w:cs="Arial"/>
          <w:sz w:val="20"/>
        </w:rPr>
      </w:pPr>
      <w:r w:rsidRPr="009D7077">
        <w:rPr>
          <w:rFonts w:ascii="Calibri" w:hAnsi="Calibri" w:cs="Arial"/>
          <w:sz w:val="20"/>
        </w:rPr>
        <w:t>Средние фактичес</w:t>
      </w:r>
      <w:r>
        <w:rPr>
          <w:rFonts w:ascii="Calibri" w:hAnsi="Calibri" w:cs="Arial"/>
          <w:sz w:val="20"/>
        </w:rPr>
        <w:t xml:space="preserve">кие затраты на строительство 1 </w:t>
      </w:r>
      <w:r w:rsidRPr="009D7077">
        <w:rPr>
          <w:rFonts w:ascii="Calibri" w:hAnsi="Calibri" w:cs="Arial"/>
          <w:sz w:val="20"/>
        </w:rPr>
        <w:t>кв.</w:t>
      </w:r>
      <w:r>
        <w:rPr>
          <w:rFonts w:ascii="Calibri" w:hAnsi="Calibri" w:cs="Arial"/>
          <w:sz w:val="20"/>
        </w:rPr>
        <w:t xml:space="preserve"> </w:t>
      </w:r>
      <w:r w:rsidRPr="00267197">
        <w:rPr>
          <w:rFonts w:ascii="Calibri" w:hAnsi="Calibri" w:cs="Arial"/>
          <w:sz w:val="20"/>
        </w:rPr>
        <w:t xml:space="preserve">метра </w:t>
      </w:r>
      <w:r>
        <w:rPr>
          <w:rFonts w:ascii="Calibri" w:hAnsi="Calibri" w:cs="Arial"/>
          <w:sz w:val="20"/>
        </w:rPr>
        <w:t>общей площади жилых зданий в январе-дека</w:t>
      </w:r>
      <w:r w:rsidRPr="00272988">
        <w:rPr>
          <w:rFonts w:ascii="Calibri" w:hAnsi="Calibri" w:cs="Arial"/>
          <w:sz w:val="20"/>
        </w:rPr>
        <w:t xml:space="preserve">бре </w:t>
      </w:r>
      <w:r>
        <w:rPr>
          <w:rFonts w:ascii="Calibri" w:hAnsi="Calibri" w:cs="Arial"/>
          <w:sz w:val="20"/>
        </w:rPr>
        <w:t>2020</w:t>
      </w:r>
      <w:r w:rsidRPr="009D7077">
        <w:rPr>
          <w:rFonts w:ascii="Calibri" w:hAnsi="Calibri" w:cs="Arial"/>
          <w:sz w:val="20"/>
        </w:rPr>
        <w:t>г</w:t>
      </w:r>
      <w:r w:rsidRPr="00272988">
        <w:rPr>
          <w:rFonts w:ascii="Calibri" w:hAnsi="Calibri" w:cs="Arial"/>
          <w:sz w:val="20"/>
        </w:rPr>
        <w:t>.</w:t>
      </w:r>
      <w:r w:rsidRPr="009D7077">
        <w:rPr>
          <w:rFonts w:ascii="Calibri" w:hAnsi="Calibri" w:cs="Arial"/>
          <w:sz w:val="20"/>
        </w:rPr>
        <w:t xml:space="preserve"> составили </w:t>
      </w:r>
      <w:r w:rsidRPr="00272988">
        <w:rPr>
          <w:rFonts w:ascii="Calibri" w:hAnsi="Calibri" w:cs="Arial"/>
          <w:sz w:val="20"/>
        </w:rPr>
        <w:t xml:space="preserve">122,1 </w:t>
      </w:r>
      <w:r w:rsidRPr="009D7077">
        <w:rPr>
          <w:rFonts w:ascii="Calibri" w:hAnsi="Calibri" w:cs="Arial"/>
          <w:sz w:val="20"/>
        </w:rPr>
        <w:t>тыс. тенге и в жилых дом</w:t>
      </w:r>
      <w:r>
        <w:rPr>
          <w:rFonts w:ascii="Calibri" w:hAnsi="Calibri" w:cs="Arial"/>
          <w:sz w:val="20"/>
        </w:rPr>
        <w:t>ах, построенных индивидуальными</w:t>
      </w:r>
      <w:r w:rsidRPr="00272988">
        <w:rPr>
          <w:rFonts w:ascii="Calibri" w:hAnsi="Calibri" w:cs="Arial"/>
          <w:sz w:val="20"/>
        </w:rPr>
        <w:t xml:space="preserve"> </w:t>
      </w:r>
      <w:r>
        <w:rPr>
          <w:rFonts w:ascii="Calibri" w:hAnsi="Calibri" w:cs="Arial"/>
          <w:sz w:val="20"/>
        </w:rPr>
        <w:t>застройщиками – 9</w:t>
      </w:r>
      <w:r w:rsidRPr="00272988">
        <w:rPr>
          <w:rFonts w:ascii="Calibri" w:hAnsi="Calibri" w:cs="Arial"/>
          <w:sz w:val="20"/>
        </w:rPr>
        <w:t>1,1</w:t>
      </w:r>
      <w:r>
        <w:rPr>
          <w:rFonts w:ascii="Calibri" w:hAnsi="Calibri" w:cs="Arial"/>
          <w:sz w:val="20"/>
        </w:rPr>
        <w:t xml:space="preserve"> </w:t>
      </w:r>
      <w:r w:rsidRPr="009D7077">
        <w:rPr>
          <w:rFonts w:ascii="Calibri" w:hAnsi="Calibri" w:cs="Arial"/>
          <w:sz w:val="20"/>
        </w:rPr>
        <w:t>тыс. тенге.</w:t>
      </w:r>
    </w:p>
    <w:p w:rsidR="00C10A97" w:rsidRPr="00AE7DB5" w:rsidRDefault="008B61BD" w:rsidP="00272988">
      <w:pPr>
        <w:tabs>
          <w:tab w:val="left" w:pos="284"/>
        </w:tabs>
        <w:spacing w:after="0" w:line="240" w:lineRule="auto"/>
        <w:ind w:firstLine="709"/>
        <w:jc w:val="both"/>
        <w:rPr>
          <w:rFonts w:cs="Times New Roman"/>
          <w:sz w:val="20"/>
          <w:szCs w:val="20"/>
        </w:rPr>
      </w:pPr>
      <w:r w:rsidRPr="00AE7DB5">
        <w:rPr>
          <w:rFonts w:cs="Times New Roman"/>
          <w:sz w:val="20"/>
          <w:szCs w:val="20"/>
        </w:rPr>
        <w:t>Увеличение ввода жилья наблюдалось в</w:t>
      </w:r>
      <w:r w:rsidR="00D85988" w:rsidRPr="00AE7DB5">
        <w:rPr>
          <w:rFonts w:cs="Times New Roman"/>
          <w:sz w:val="20"/>
          <w:szCs w:val="20"/>
        </w:rPr>
        <w:t xml:space="preserve"> 16 регионах </w:t>
      </w:r>
      <w:r w:rsidRPr="00AE7DB5">
        <w:rPr>
          <w:rFonts w:cs="Times New Roman"/>
          <w:sz w:val="20"/>
          <w:szCs w:val="20"/>
        </w:rPr>
        <w:t xml:space="preserve">республики. Значительный рост был отмечен в </w:t>
      </w:r>
      <w:r w:rsidR="00977D38">
        <w:rPr>
          <w:rFonts w:cs="Times New Roman"/>
          <w:sz w:val="20"/>
          <w:szCs w:val="20"/>
        </w:rPr>
        <w:t>г. Нур-Султан</w:t>
      </w:r>
      <w:r w:rsidRPr="00AE7DB5">
        <w:rPr>
          <w:rFonts w:cs="Times New Roman"/>
          <w:sz w:val="20"/>
          <w:szCs w:val="20"/>
        </w:rPr>
        <w:t xml:space="preserve"> (в 1,</w:t>
      </w:r>
      <w:r w:rsidR="00977D38">
        <w:rPr>
          <w:rFonts w:cs="Times New Roman"/>
          <w:sz w:val="20"/>
          <w:szCs w:val="20"/>
        </w:rPr>
        <w:t>73 раз</w:t>
      </w:r>
      <w:r w:rsidRPr="00AE7DB5">
        <w:rPr>
          <w:rFonts w:cs="Times New Roman"/>
          <w:sz w:val="20"/>
          <w:szCs w:val="20"/>
        </w:rPr>
        <w:t>)</w:t>
      </w:r>
      <w:r w:rsidR="00977D38">
        <w:rPr>
          <w:rFonts w:cs="Times New Roman"/>
          <w:sz w:val="20"/>
          <w:szCs w:val="20"/>
        </w:rPr>
        <w:t>;</w:t>
      </w:r>
      <w:r w:rsidRPr="00AE7DB5">
        <w:rPr>
          <w:rFonts w:cs="Times New Roman"/>
          <w:sz w:val="20"/>
          <w:szCs w:val="20"/>
        </w:rPr>
        <w:t xml:space="preserve"> </w:t>
      </w:r>
      <w:r w:rsidR="00E5498D" w:rsidRPr="00AE7DB5">
        <w:rPr>
          <w:rFonts w:cs="Times New Roman"/>
          <w:sz w:val="20"/>
          <w:szCs w:val="20"/>
        </w:rPr>
        <w:t>Шымкент (</w:t>
      </w:r>
      <w:r w:rsidR="00977D38">
        <w:rPr>
          <w:rFonts w:cs="Times New Roman"/>
          <w:sz w:val="20"/>
          <w:szCs w:val="20"/>
        </w:rPr>
        <w:t xml:space="preserve">в </w:t>
      </w:r>
      <w:r w:rsidR="00E5498D" w:rsidRPr="00AE7DB5">
        <w:rPr>
          <w:rFonts w:cs="Times New Roman"/>
          <w:sz w:val="20"/>
          <w:szCs w:val="20"/>
        </w:rPr>
        <w:t>1,2</w:t>
      </w:r>
      <w:r w:rsidR="00977D38">
        <w:rPr>
          <w:rFonts w:cs="Times New Roman"/>
          <w:sz w:val="20"/>
          <w:szCs w:val="20"/>
        </w:rPr>
        <w:t>4</w:t>
      </w:r>
      <w:r w:rsidR="00E5498D" w:rsidRPr="00AE7DB5">
        <w:rPr>
          <w:rFonts w:cs="Times New Roman"/>
          <w:sz w:val="20"/>
          <w:szCs w:val="20"/>
        </w:rPr>
        <w:t xml:space="preserve"> раза)</w:t>
      </w:r>
      <w:r w:rsidR="00977D38">
        <w:rPr>
          <w:rFonts w:cs="Times New Roman"/>
          <w:sz w:val="20"/>
          <w:szCs w:val="20"/>
        </w:rPr>
        <w:t>; Карагандинской (в 1,26 раз), Жамбылской областях ( в 1,22 раза ) и СКО (в 1,22 раза)</w:t>
      </w:r>
      <w:r w:rsidRPr="00AE7DB5">
        <w:rPr>
          <w:rFonts w:cs="Times New Roman"/>
          <w:sz w:val="20"/>
          <w:szCs w:val="20"/>
        </w:rPr>
        <w:t>.</w:t>
      </w:r>
    </w:p>
    <w:p w:rsidR="00C10A97" w:rsidRPr="00AE7DB5" w:rsidRDefault="00C10A97" w:rsidP="00C50199">
      <w:pPr>
        <w:tabs>
          <w:tab w:val="left" w:pos="284"/>
        </w:tabs>
        <w:spacing w:after="0" w:line="240" w:lineRule="auto"/>
        <w:jc w:val="both"/>
        <w:rPr>
          <w:rFonts w:cs="Times New Roman"/>
          <w:b/>
          <w:sz w:val="20"/>
          <w:szCs w:val="20"/>
        </w:rPr>
      </w:pPr>
    </w:p>
    <w:p w:rsidR="00C50199" w:rsidRPr="00AE7DB5" w:rsidRDefault="00C50199" w:rsidP="002638A9">
      <w:pPr>
        <w:tabs>
          <w:tab w:val="left" w:pos="284"/>
        </w:tabs>
        <w:spacing w:after="0" w:line="240" w:lineRule="auto"/>
        <w:jc w:val="center"/>
        <w:rPr>
          <w:rFonts w:cs="Times New Roman"/>
          <w:noProof/>
          <w:sz w:val="20"/>
          <w:szCs w:val="20"/>
          <w:lang w:eastAsia="ru-RU"/>
        </w:rPr>
      </w:pPr>
      <w:r w:rsidRPr="00AE7DB5">
        <w:rPr>
          <w:rFonts w:cs="Times New Roman"/>
          <w:b/>
          <w:sz w:val="20"/>
          <w:szCs w:val="20"/>
        </w:rPr>
        <w:t>Объем</w:t>
      </w:r>
      <w:r w:rsidR="00803E7F" w:rsidRPr="00AE7DB5">
        <w:rPr>
          <w:rFonts w:cs="Times New Roman"/>
          <w:b/>
          <w:sz w:val="20"/>
          <w:szCs w:val="20"/>
        </w:rPr>
        <w:t xml:space="preserve"> </w:t>
      </w:r>
      <w:r w:rsidRPr="00AE7DB5">
        <w:rPr>
          <w:rFonts w:cs="Times New Roman"/>
          <w:b/>
          <w:sz w:val="20"/>
          <w:szCs w:val="20"/>
        </w:rPr>
        <w:t>выполненных строительных работ</w:t>
      </w:r>
    </w:p>
    <w:p w:rsidR="00132F29" w:rsidRDefault="00132F29" w:rsidP="00483FAB">
      <w:pPr>
        <w:spacing w:after="0" w:line="240" w:lineRule="auto"/>
        <w:ind w:firstLine="720"/>
        <w:jc w:val="both"/>
        <w:rPr>
          <w:rFonts w:cs="Times New Roman"/>
          <w:sz w:val="20"/>
          <w:szCs w:val="20"/>
        </w:rPr>
      </w:pPr>
      <w:r w:rsidRPr="00132F29">
        <w:rPr>
          <w:rFonts w:cs="Times New Roman"/>
          <w:sz w:val="20"/>
          <w:szCs w:val="20"/>
        </w:rPr>
        <w:t>В январе-декабре 2020 года объем строител</w:t>
      </w:r>
      <w:r>
        <w:rPr>
          <w:rFonts w:cs="Times New Roman"/>
          <w:sz w:val="20"/>
          <w:szCs w:val="20"/>
        </w:rPr>
        <w:t xml:space="preserve">ьных работ (услуг) составил </w:t>
      </w:r>
      <w:r w:rsidRPr="00132F29">
        <w:rPr>
          <w:rFonts w:cs="Times New Roman"/>
          <w:sz w:val="20"/>
          <w:szCs w:val="20"/>
        </w:rPr>
        <w:t>4 919,8 млрд. тенге, что на 11,2% больше, чем в 2019 году</w:t>
      </w:r>
      <w:r>
        <w:rPr>
          <w:rFonts w:cs="Times New Roman"/>
          <w:sz w:val="20"/>
          <w:szCs w:val="20"/>
        </w:rPr>
        <w:t>.</w:t>
      </w:r>
    </w:p>
    <w:p w:rsidR="00132F29" w:rsidRDefault="00132F29" w:rsidP="00483FAB">
      <w:pPr>
        <w:spacing w:after="0" w:line="240" w:lineRule="auto"/>
        <w:ind w:firstLine="720"/>
        <w:jc w:val="both"/>
        <w:rPr>
          <w:rFonts w:cs="Times New Roman"/>
          <w:sz w:val="20"/>
          <w:szCs w:val="20"/>
        </w:rPr>
      </w:pPr>
      <w:r w:rsidRPr="00132F29">
        <w:rPr>
          <w:rFonts w:cs="Times New Roman"/>
          <w:sz w:val="20"/>
          <w:szCs w:val="20"/>
        </w:rPr>
        <w:t>Увеличение объема строительных работ наблюдалось в шестнадцати областях Республики Казахстан. Значительное увеличение строительных работ наблюдалось в Туркестанской области (в 1,7 раза), в городе Шымкент (в 1,4 раза), Костанайской, Жамбылской, Восточно-Казахстанской (в 1,3 раза), Акмолинской (в 1,2 раза), Мангис</w:t>
      </w:r>
      <w:r>
        <w:rPr>
          <w:rFonts w:cs="Times New Roman"/>
          <w:sz w:val="20"/>
          <w:szCs w:val="20"/>
        </w:rPr>
        <w:t xml:space="preserve">тауской, Северо-Казахстанской, </w:t>
      </w:r>
      <w:r w:rsidRPr="00132F29">
        <w:rPr>
          <w:rFonts w:cs="Times New Roman"/>
          <w:sz w:val="20"/>
          <w:szCs w:val="20"/>
        </w:rPr>
        <w:t>Карагандинской, Алматинской, Актюбинской областях, в городах Алматы и Нур-Султан  (в 1,1 раза).</w:t>
      </w:r>
    </w:p>
    <w:p w:rsidR="00D651D6" w:rsidRDefault="00D651D6" w:rsidP="00483FAB">
      <w:pPr>
        <w:spacing w:after="0" w:line="240" w:lineRule="auto"/>
        <w:ind w:firstLine="720"/>
        <w:jc w:val="both"/>
        <w:rPr>
          <w:rFonts w:cs="Times New Roman"/>
          <w:sz w:val="20"/>
          <w:szCs w:val="20"/>
        </w:rPr>
      </w:pPr>
    </w:p>
    <w:p w:rsidR="00C50199" w:rsidRPr="00AE7DB5" w:rsidRDefault="00C50199" w:rsidP="00B86135">
      <w:pPr>
        <w:tabs>
          <w:tab w:val="left" w:pos="284"/>
        </w:tabs>
        <w:spacing w:after="0" w:line="240" w:lineRule="auto"/>
        <w:jc w:val="center"/>
        <w:rPr>
          <w:rFonts w:cs="Times New Roman"/>
          <w:bCs/>
          <w:color w:val="FF0000"/>
          <w:sz w:val="20"/>
          <w:szCs w:val="20"/>
        </w:rPr>
      </w:pPr>
      <w:r w:rsidRPr="00AE7DB5">
        <w:rPr>
          <w:rFonts w:cs="Times New Roman"/>
          <w:bCs/>
          <w:noProof/>
          <w:color w:val="FF0000"/>
          <w:sz w:val="20"/>
          <w:szCs w:val="20"/>
          <w:lang w:eastAsia="ru-RU"/>
        </w:rPr>
        <w:drawing>
          <wp:inline distT="0" distB="0" distL="0" distR="0" wp14:anchorId="0FFDD6C8" wp14:editId="18258050">
            <wp:extent cx="6172200" cy="24860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199" w:rsidRPr="00AE7DB5" w:rsidRDefault="002E06F5" w:rsidP="00F54631">
      <w:pPr>
        <w:pStyle w:val="a3"/>
        <w:tabs>
          <w:tab w:val="left" w:pos="426"/>
          <w:tab w:val="left" w:pos="567"/>
        </w:tabs>
        <w:spacing w:line="240" w:lineRule="auto"/>
        <w:ind w:left="0"/>
        <w:rPr>
          <w:rFonts w:cs="Times New Roman"/>
          <w:b/>
          <w:sz w:val="20"/>
          <w:szCs w:val="20"/>
        </w:rPr>
      </w:pPr>
      <w:r w:rsidRPr="00AE7DB5">
        <w:rPr>
          <w:rFonts w:cs="Times New Roman"/>
          <w:i/>
          <w:sz w:val="20"/>
          <w:szCs w:val="20"/>
        </w:rPr>
        <w:t xml:space="preserve">Источник: </w:t>
      </w:r>
      <w:r w:rsidR="003E68D8" w:rsidRPr="00AE7DB5">
        <w:rPr>
          <w:rFonts w:cs="Times New Roman"/>
          <w:i/>
          <w:sz w:val="20"/>
          <w:szCs w:val="20"/>
        </w:rPr>
        <w:t>Комитет по статистике МНЭ РК</w:t>
      </w:r>
      <w:r w:rsidR="00847F3E" w:rsidRPr="00AE7DB5">
        <w:rPr>
          <w:rFonts w:cs="Times New Roman"/>
          <w:i/>
          <w:sz w:val="20"/>
          <w:szCs w:val="20"/>
        </w:rPr>
        <w:tab/>
      </w:r>
      <w:r w:rsidR="00847F3E" w:rsidRPr="00AE7DB5">
        <w:rPr>
          <w:rFonts w:cs="Times New Roman"/>
          <w:i/>
          <w:sz w:val="20"/>
          <w:szCs w:val="20"/>
        </w:rPr>
        <w:tab/>
      </w:r>
      <w:r w:rsidR="00847F3E" w:rsidRPr="00AE7DB5">
        <w:rPr>
          <w:rFonts w:cs="Times New Roman"/>
          <w:i/>
          <w:sz w:val="20"/>
          <w:szCs w:val="20"/>
        </w:rPr>
        <w:tab/>
      </w:r>
      <w:r w:rsidR="00847F3E" w:rsidRPr="00AE7DB5">
        <w:rPr>
          <w:rFonts w:cs="Times New Roman"/>
          <w:i/>
          <w:sz w:val="20"/>
          <w:szCs w:val="20"/>
        </w:rPr>
        <w:tab/>
      </w:r>
      <w:r w:rsidR="00847F3E" w:rsidRPr="00AE7DB5">
        <w:rPr>
          <w:rFonts w:cs="Times New Roman"/>
          <w:i/>
          <w:sz w:val="20"/>
          <w:szCs w:val="20"/>
        </w:rPr>
        <w:tab/>
      </w:r>
      <w:r w:rsidR="00847F3E" w:rsidRPr="00AE7DB5">
        <w:rPr>
          <w:rFonts w:cs="Times New Roman"/>
          <w:i/>
          <w:sz w:val="20"/>
          <w:szCs w:val="20"/>
        </w:rPr>
        <w:tab/>
      </w:r>
      <w:r w:rsidR="00847F3E" w:rsidRPr="00AE7DB5">
        <w:rPr>
          <w:rFonts w:cs="Times New Roman"/>
          <w:i/>
          <w:sz w:val="20"/>
          <w:szCs w:val="20"/>
        </w:rPr>
        <w:tab/>
      </w:r>
      <w:r w:rsidR="00C50199" w:rsidRPr="00AE7DB5">
        <w:rPr>
          <w:rFonts w:cs="Times New Roman"/>
          <w:b/>
          <w:sz w:val="20"/>
          <w:szCs w:val="20"/>
        </w:rPr>
        <w:t xml:space="preserve"> </w:t>
      </w:r>
    </w:p>
    <w:p w:rsidR="00132F29" w:rsidRDefault="00132F29" w:rsidP="00132F29">
      <w:pPr>
        <w:spacing w:after="0" w:line="240" w:lineRule="auto"/>
        <w:ind w:firstLine="720"/>
        <w:jc w:val="both"/>
        <w:rPr>
          <w:rFonts w:cs="Times New Roman"/>
          <w:sz w:val="20"/>
          <w:szCs w:val="20"/>
        </w:rPr>
      </w:pPr>
      <w:r w:rsidRPr="00132F29">
        <w:rPr>
          <w:rFonts w:cs="Times New Roman"/>
          <w:sz w:val="20"/>
          <w:szCs w:val="20"/>
        </w:rPr>
        <w:t>Наибольший объем от общего объема строительных работ по республике выполнен частными строительными организациями 86,2%, иностранными – 13,6%, государственными – 0,2%.</w:t>
      </w:r>
    </w:p>
    <w:p w:rsidR="00C50199" w:rsidRPr="00AE7DB5" w:rsidRDefault="00C50199" w:rsidP="00C50199">
      <w:pPr>
        <w:pStyle w:val="a3"/>
        <w:tabs>
          <w:tab w:val="left" w:pos="426"/>
          <w:tab w:val="left" w:pos="567"/>
        </w:tabs>
        <w:spacing w:line="240" w:lineRule="auto"/>
        <w:ind w:left="0"/>
        <w:jc w:val="both"/>
        <w:rPr>
          <w:rFonts w:cs="Times New Roman"/>
          <w:b/>
          <w:sz w:val="20"/>
          <w:szCs w:val="20"/>
        </w:rPr>
      </w:pPr>
    </w:p>
    <w:p w:rsidR="00847F3E" w:rsidRPr="00AE7DB5" w:rsidRDefault="00847F3E" w:rsidP="00847F3E">
      <w:pPr>
        <w:pStyle w:val="a3"/>
        <w:numPr>
          <w:ilvl w:val="0"/>
          <w:numId w:val="2"/>
        </w:numPr>
        <w:tabs>
          <w:tab w:val="left" w:pos="284"/>
          <w:tab w:val="left" w:pos="567"/>
        </w:tabs>
        <w:spacing w:after="0" w:line="240" w:lineRule="auto"/>
        <w:jc w:val="both"/>
        <w:rPr>
          <w:rFonts w:cs="Times New Roman"/>
          <w:b/>
          <w:color w:val="1F4E79" w:themeColor="accent1" w:themeShade="80"/>
          <w:sz w:val="20"/>
          <w:szCs w:val="20"/>
        </w:rPr>
      </w:pPr>
      <w:r w:rsidRPr="00AE7DB5">
        <w:rPr>
          <w:rFonts w:cs="Times New Roman"/>
          <w:b/>
          <w:color w:val="1F4E79" w:themeColor="accent1" w:themeShade="80"/>
          <w:sz w:val="20"/>
          <w:szCs w:val="20"/>
        </w:rPr>
        <w:t>Инвестиции в жилищное строительство</w:t>
      </w:r>
    </w:p>
    <w:p w:rsidR="00803E7F" w:rsidRPr="00AE7DB5" w:rsidRDefault="00803E7F" w:rsidP="00803E7F">
      <w:pPr>
        <w:pStyle w:val="a3"/>
        <w:tabs>
          <w:tab w:val="left" w:pos="284"/>
          <w:tab w:val="left" w:pos="567"/>
        </w:tabs>
        <w:spacing w:after="0" w:line="240" w:lineRule="auto"/>
        <w:jc w:val="both"/>
        <w:rPr>
          <w:rFonts w:cs="Times New Roman"/>
          <w:b/>
          <w:color w:val="1F4E79" w:themeColor="accent1" w:themeShade="80"/>
          <w:sz w:val="20"/>
          <w:szCs w:val="20"/>
        </w:rPr>
      </w:pPr>
    </w:p>
    <w:p w:rsidR="00C50199" w:rsidRPr="00AE7DB5" w:rsidRDefault="00C50199" w:rsidP="002638A9">
      <w:pPr>
        <w:tabs>
          <w:tab w:val="left" w:pos="284"/>
        </w:tabs>
        <w:spacing w:after="0" w:line="240" w:lineRule="auto"/>
        <w:jc w:val="center"/>
        <w:rPr>
          <w:rFonts w:cs="Times New Roman"/>
          <w:b/>
          <w:bCs/>
          <w:sz w:val="20"/>
          <w:szCs w:val="20"/>
        </w:rPr>
      </w:pPr>
      <w:r w:rsidRPr="00AE7DB5">
        <w:rPr>
          <w:rFonts w:cs="Times New Roman"/>
          <w:b/>
          <w:bCs/>
          <w:sz w:val="20"/>
          <w:szCs w:val="20"/>
        </w:rPr>
        <w:t>Объем инвестиций в жилищное строительство.</w:t>
      </w:r>
    </w:p>
    <w:p w:rsidR="00483FAB" w:rsidRDefault="00483FAB" w:rsidP="00483FAB">
      <w:pPr>
        <w:tabs>
          <w:tab w:val="left" w:pos="284"/>
        </w:tabs>
        <w:spacing w:after="0" w:line="240" w:lineRule="auto"/>
        <w:ind w:firstLine="709"/>
        <w:jc w:val="both"/>
        <w:rPr>
          <w:rFonts w:cs="Times New Roman"/>
          <w:sz w:val="20"/>
          <w:szCs w:val="20"/>
        </w:rPr>
      </w:pPr>
      <w:r w:rsidRPr="00AE7DB5">
        <w:rPr>
          <w:rFonts w:cs="Times New Roman"/>
          <w:sz w:val="20"/>
          <w:szCs w:val="20"/>
        </w:rPr>
        <w:t>С 01 января по 31 декабря 20</w:t>
      </w:r>
      <w:r w:rsidR="00132F29">
        <w:rPr>
          <w:rFonts w:cs="Times New Roman"/>
          <w:sz w:val="20"/>
          <w:szCs w:val="20"/>
        </w:rPr>
        <w:t>20</w:t>
      </w:r>
      <w:r w:rsidRPr="00AE7DB5">
        <w:rPr>
          <w:rFonts w:cs="Times New Roman"/>
          <w:sz w:val="20"/>
          <w:szCs w:val="20"/>
        </w:rPr>
        <w:t xml:space="preserve"> г. на строительство жилья было направлено 1 </w:t>
      </w:r>
      <w:r w:rsidR="00132F29">
        <w:rPr>
          <w:rFonts w:cs="Times New Roman"/>
          <w:sz w:val="20"/>
          <w:szCs w:val="20"/>
        </w:rPr>
        <w:t>968</w:t>
      </w:r>
      <w:r w:rsidRPr="00AE7DB5">
        <w:rPr>
          <w:rFonts w:cs="Times New Roman"/>
          <w:sz w:val="20"/>
          <w:szCs w:val="20"/>
        </w:rPr>
        <w:t xml:space="preserve">,0 млрд. тенге, что на </w:t>
      </w:r>
      <w:r w:rsidR="00132F29">
        <w:rPr>
          <w:rFonts w:cs="Times New Roman"/>
          <w:sz w:val="20"/>
          <w:szCs w:val="20"/>
        </w:rPr>
        <w:t>38,3</w:t>
      </w:r>
      <w:r w:rsidRPr="00AE7DB5">
        <w:rPr>
          <w:rFonts w:cs="Times New Roman"/>
          <w:sz w:val="20"/>
          <w:szCs w:val="20"/>
        </w:rPr>
        <w:t>% больше, чем в 20</w:t>
      </w:r>
      <w:r w:rsidR="00132F29">
        <w:rPr>
          <w:rFonts w:cs="Times New Roman"/>
          <w:sz w:val="20"/>
          <w:szCs w:val="20"/>
        </w:rPr>
        <w:t>19</w:t>
      </w:r>
      <w:r w:rsidRPr="00AE7DB5">
        <w:rPr>
          <w:rFonts w:cs="Times New Roman"/>
          <w:sz w:val="20"/>
          <w:szCs w:val="20"/>
        </w:rPr>
        <w:t>г. Значительный прирост жилищных инвестиции (</w:t>
      </w:r>
      <w:r w:rsidR="009C4815">
        <w:rPr>
          <w:rFonts w:cs="Times New Roman"/>
          <w:sz w:val="20"/>
          <w:szCs w:val="20"/>
        </w:rPr>
        <w:t>72</w:t>
      </w:r>
      <w:r w:rsidRPr="00AE7DB5">
        <w:rPr>
          <w:rFonts w:cs="Times New Roman"/>
          <w:sz w:val="20"/>
          <w:szCs w:val="20"/>
        </w:rPr>
        <w:t xml:space="preserve">%) показывает </w:t>
      </w:r>
      <w:r w:rsidR="009C4815">
        <w:rPr>
          <w:rFonts w:cs="Times New Roman"/>
          <w:sz w:val="20"/>
          <w:szCs w:val="20"/>
        </w:rPr>
        <w:t>ВКО</w:t>
      </w:r>
      <w:r w:rsidRPr="00AE7DB5">
        <w:rPr>
          <w:rFonts w:cs="Times New Roman"/>
          <w:sz w:val="20"/>
          <w:szCs w:val="20"/>
        </w:rPr>
        <w:t xml:space="preserve">. </w:t>
      </w:r>
    </w:p>
    <w:p w:rsidR="00D651D6" w:rsidRPr="00AE7DB5" w:rsidRDefault="00D651D6" w:rsidP="00483FAB">
      <w:pPr>
        <w:tabs>
          <w:tab w:val="left" w:pos="284"/>
        </w:tabs>
        <w:spacing w:after="0" w:line="240" w:lineRule="auto"/>
        <w:ind w:firstLine="709"/>
        <w:jc w:val="both"/>
        <w:rPr>
          <w:rFonts w:cs="Times New Roman"/>
          <w:sz w:val="20"/>
          <w:szCs w:val="20"/>
        </w:rPr>
      </w:pPr>
    </w:p>
    <w:p w:rsidR="002E06F5" w:rsidRPr="00AE7DB5" w:rsidRDefault="00872F4E" w:rsidP="00C50199">
      <w:pPr>
        <w:tabs>
          <w:tab w:val="left" w:pos="284"/>
        </w:tabs>
        <w:spacing w:after="0" w:line="240" w:lineRule="auto"/>
        <w:jc w:val="both"/>
        <w:rPr>
          <w:rFonts w:cs="Times New Roman"/>
          <w:b/>
          <w:bCs/>
          <w:sz w:val="20"/>
          <w:szCs w:val="20"/>
        </w:rPr>
      </w:pPr>
      <w:r>
        <w:rPr>
          <w:noProof/>
          <w:lang w:eastAsia="ru-RU"/>
        </w:rPr>
        <w:drawing>
          <wp:inline distT="0" distB="0" distL="0" distR="0" wp14:anchorId="757C703C" wp14:editId="45E0F9D6">
            <wp:extent cx="6286500" cy="27527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5D97" w:rsidRPr="00AE7DB5" w:rsidRDefault="00475D97" w:rsidP="00475D97">
      <w:pPr>
        <w:tabs>
          <w:tab w:val="left" w:pos="284"/>
        </w:tabs>
        <w:spacing w:after="0" w:line="240" w:lineRule="auto"/>
        <w:rPr>
          <w:rFonts w:cs="Times New Roman"/>
          <w:b/>
          <w:bCs/>
          <w:sz w:val="20"/>
          <w:szCs w:val="20"/>
        </w:rPr>
      </w:pPr>
      <w:r w:rsidRPr="00AE7DB5">
        <w:rPr>
          <w:rFonts w:cs="Times New Roman"/>
          <w:i/>
          <w:sz w:val="20"/>
          <w:szCs w:val="20"/>
        </w:rPr>
        <w:t>Источник: Комитет по статистике МНЭ РК</w:t>
      </w:r>
    </w:p>
    <w:p w:rsidR="00475D97" w:rsidRPr="00AE7DB5" w:rsidRDefault="00475D97" w:rsidP="002E06F5">
      <w:pPr>
        <w:tabs>
          <w:tab w:val="left" w:pos="284"/>
        </w:tabs>
        <w:spacing w:after="0" w:line="240" w:lineRule="auto"/>
        <w:jc w:val="center"/>
        <w:rPr>
          <w:rFonts w:cs="Times New Roman"/>
          <w:b/>
          <w:bCs/>
          <w:sz w:val="20"/>
          <w:szCs w:val="20"/>
        </w:rPr>
      </w:pPr>
    </w:p>
    <w:p w:rsidR="00C50199" w:rsidRPr="00AE7DB5" w:rsidRDefault="002E06F5" w:rsidP="002E06F5">
      <w:pPr>
        <w:tabs>
          <w:tab w:val="left" w:pos="284"/>
        </w:tabs>
        <w:spacing w:after="0" w:line="240" w:lineRule="auto"/>
        <w:jc w:val="center"/>
        <w:rPr>
          <w:rFonts w:cs="Times New Roman"/>
          <w:b/>
          <w:bCs/>
          <w:sz w:val="20"/>
          <w:szCs w:val="20"/>
        </w:rPr>
      </w:pPr>
      <w:r w:rsidRPr="00AE7DB5">
        <w:rPr>
          <w:rFonts w:cs="Times New Roman"/>
          <w:b/>
          <w:bCs/>
          <w:sz w:val="20"/>
          <w:szCs w:val="20"/>
        </w:rPr>
        <w:t xml:space="preserve">Инвестиции в жилищное строительство </w:t>
      </w:r>
      <w:r w:rsidR="00C50199" w:rsidRPr="00AE7DB5">
        <w:rPr>
          <w:rFonts w:cs="Times New Roman"/>
          <w:b/>
          <w:bCs/>
          <w:sz w:val="20"/>
          <w:szCs w:val="20"/>
        </w:rPr>
        <w:t>за январь-декабрь 20</w:t>
      </w:r>
      <w:r w:rsidR="00F723C9">
        <w:rPr>
          <w:rFonts w:cs="Times New Roman"/>
          <w:b/>
          <w:bCs/>
          <w:sz w:val="20"/>
          <w:szCs w:val="20"/>
        </w:rPr>
        <w:t>20</w:t>
      </w:r>
      <w:r w:rsidR="00C50199" w:rsidRPr="00AE7DB5">
        <w:rPr>
          <w:rFonts w:cs="Times New Roman"/>
          <w:b/>
          <w:bCs/>
          <w:sz w:val="20"/>
          <w:szCs w:val="20"/>
        </w:rPr>
        <w:t xml:space="preserve"> года.</w:t>
      </w:r>
    </w:p>
    <w:p w:rsidR="00EA2069" w:rsidRPr="00AE7DB5" w:rsidRDefault="00C50199" w:rsidP="00C50199">
      <w:pPr>
        <w:tabs>
          <w:tab w:val="left" w:pos="284"/>
        </w:tabs>
        <w:spacing w:after="0" w:line="240" w:lineRule="auto"/>
        <w:ind w:firstLine="709"/>
        <w:jc w:val="both"/>
        <w:rPr>
          <w:rFonts w:cs="Times New Roman"/>
          <w:sz w:val="20"/>
          <w:szCs w:val="20"/>
        </w:rPr>
      </w:pPr>
      <w:r w:rsidRPr="00AE7DB5">
        <w:rPr>
          <w:rFonts w:cs="Times New Roman"/>
          <w:sz w:val="20"/>
          <w:szCs w:val="20"/>
        </w:rPr>
        <w:t xml:space="preserve">Лидерами по </w:t>
      </w:r>
      <w:r w:rsidR="00EA2069" w:rsidRPr="00AE7DB5">
        <w:rPr>
          <w:rFonts w:cs="Times New Roman"/>
          <w:sz w:val="20"/>
          <w:szCs w:val="20"/>
        </w:rPr>
        <w:t xml:space="preserve">жилищным </w:t>
      </w:r>
      <w:r w:rsidRPr="00AE7DB5">
        <w:rPr>
          <w:rFonts w:cs="Times New Roman"/>
          <w:sz w:val="20"/>
          <w:szCs w:val="20"/>
        </w:rPr>
        <w:t>инвестици</w:t>
      </w:r>
      <w:r w:rsidR="00EA2069" w:rsidRPr="00AE7DB5">
        <w:rPr>
          <w:rFonts w:cs="Times New Roman"/>
          <w:sz w:val="20"/>
          <w:szCs w:val="20"/>
        </w:rPr>
        <w:t>ям</w:t>
      </w:r>
      <w:r w:rsidRPr="00AE7DB5">
        <w:rPr>
          <w:rFonts w:cs="Times New Roman"/>
          <w:sz w:val="20"/>
          <w:szCs w:val="20"/>
        </w:rPr>
        <w:t xml:space="preserve"> </w:t>
      </w:r>
      <w:r w:rsidR="000F2EE5" w:rsidRPr="00AE7DB5">
        <w:rPr>
          <w:rFonts w:cs="Times New Roman"/>
          <w:sz w:val="20"/>
          <w:szCs w:val="20"/>
        </w:rPr>
        <w:t>за январь-декабрь 20</w:t>
      </w:r>
      <w:r w:rsidR="00872F4E">
        <w:rPr>
          <w:rFonts w:cs="Times New Roman"/>
          <w:sz w:val="20"/>
          <w:szCs w:val="20"/>
        </w:rPr>
        <w:t>20</w:t>
      </w:r>
      <w:r w:rsidR="000F2EE5" w:rsidRPr="00AE7DB5">
        <w:rPr>
          <w:rFonts w:cs="Times New Roman"/>
          <w:sz w:val="20"/>
          <w:szCs w:val="20"/>
        </w:rPr>
        <w:t xml:space="preserve"> года </w:t>
      </w:r>
      <w:r w:rsidRPr="00AE7DB5">
        <w:rPr>
          <w:rFonts w:cs="Times New Roman"/>
          <w:sz w:val="20"/>
          <w:szCs w:val="20"/>
        </w:rPr>
        <w:t xml:space="preserve">стали </w:t>
      </w:r>
      <w:r w:rsidR="00EA2069" w:rsidRPr="00AE7DB5">
        <w:rPr>
          <w:rFonts w:cs="Times New Roman"/>
          <w:sz w:val="20"/>
          <w:szCs w:val="20"/>
        </w:rPr>
        <w:t>г. Нур-Султан (</w:t>
      </w:r>
      <w:r w:rsidR="00872F4E">
        <w:rPr>
          <w:rFonts w:cs="Times New Roman"/>
          <w:sz w:val="20"/>
          <w:szCs w:val="20"/>
        </w:rPr>
        <w:t>505 223 млн</w:t>
      </w:r>
      <w:r w:rsidR="00EA2069" w:rsidRPr="00AE7DB5">
        <w:rPr>
          <w:rFonts w:cs="Times New Roman"/>
          <w:sz w:val="20"/>
          <w:szCs w:val="20"/>
        </w:rPr>
        <w:t>. тенге), г. Алматы (</w:t>
      </w:r>
      <w:r w:rsidR="00872F4E">
        <w:rPr>
          <w:rFonts w:cs="Times New Roman"/>
          <w:sz w:val="20"/>
          <w:szCs w:val="20"/>
        </w:rPr>
        <w:t>401 131 млн.</w:t>
      </w:r>
      <w:r w:rsidR="00EA2069" w:rsidRPr="00AE7DB5">
        <w:rPr>
          <w:rFonts w:cs="Times New Roman"/>
          <w:sz w:val="20"/>
          <w:szCs w:val="20"/>
        </w:rPr>
        <w:t xml:space="preserve"> тенге), Алматинская область (</w:t>
      </w:r>
      <w:r w:rsidR="00872F4E">
        <w:rPr>
          <w:rFonts w:cs="Times New Roman"/>
          <w:sz w:val="20"/>
          <w:szCs w:val="20"/>
        </w:rPr>
        <w:t>134 204 млн.</w:t>
      </w:r>
      <w:r w:rsidR="00EA2069" w:rsidRPr="00AE7DB5">
        <w:rPr>
          <w:rFonts w:cs="Times New Roman"/>
          <w:sz w:val="20"/>
          <w:szCs w:val="20"/>
        </w:rPr>
        <w:t xml:space="preserve"> тенге)</w:t>
      </w:r>
    </w:p>
    <w:p w:rsidR="00C50199" w:rsidRDefault="00673F34" w:rsidP="00872F4E">
      <w:pPr>
        <w:tabs>
          <w:tab w:val="left" w:pos="284"/>
        </w:tabs>
        <w:spacing w:after="0" w:line="240" w:lineRule="auto"/>
        <w:ind w:firstLine="709"/>
        <w:jc w:val="both"/>
        <w:rPr>
          <w:rFonts w:cs="Times New Roman"/>
          <w:sz w:val="20"/>
          <w:szCs w:val="20"/>
        </w:rPr>
      </w:pPr>
      <w:r w:rsidRPr="00AE7DB5">
        <w:rPr>
          <w:rFonts w:cs="Times New Roman"/>
          <w:sz w:val="20"/>
          <w:szCs w:val="20"/>
        </w:rPr>
        <w:t xml:space="preserve">Наименьшее вложение </w:t>
      </w:r>
      <w:r w:rsidR="00C50199" w:rsidRPr="00AE7DB5">
        <w:rPr>
          <w:rFonts w:cs="Times New Roman"/>
          <w:sz w:val="20"/>
          <w:szCs w:val="20"/>
        </w:rPr>
        <w:t xml:space="preserve">средств в жилищное </w:t>
      </w:r>
      <w:r w:rsidR="003060AE" w:rsidRPr="00AE7DB5">
        <w:rPr>
          <w:rFonts w:cs="Times New Roman"/>
          <w:sz w:val="20"/>
          <w:szCs w:val="20"/>
        </w:rPr>
        <w:t>строительство наблюдается</w:t>
      </w:r>
      <w:r w:rsidRPr="00AE7DB5">
        <w:rPr>
          <w:rFonts w:cs="Times New Roman"/>
          <w:sz w:val="20"/>
          <w:szCs w:val="20"/>
        </w:rPr>
        <w:t xml:space="preserve"> </w:t>
      </w:r>
      <w:r w:rsidR="00C50199" w:rsidRPr="00AE7DB5">
        <w:rPr>
          <w:rFonts w:cs="Times New Roman"/>
          <w:sz w:val="20"/>
          <w:szCs w:val="20"/>
        </w:rPr>
        <w:t>в</w:t>
      </w:r>
      <w:r w:rsidRPr="00AE7DB5">
        <w:rPr>
          <w:rFonts w:cs="Times New Roman"/>
          <w:sz w:val="20"/>
          <w:szCs w:val="20"/>
        </w:rPr>
        <w:t xml:space="preserve"> </w:t>
      </w:r>
      <w:r w:rsidR="00EA2069" w:rsidRPr="00AE7DB5">
        <w:rPr>
          <w:rFonts w:cs="Times New Roman"/>
          <w:sz w:val="20"/>
          <w:szCs w:val="20"/>
        </w:rPr>
        <w:t>Павлодарской области</w:t>
      </w:r>
      <w:r w:rsidRPr="00AE7DB5">
        <w:rPr>
          <w:rFonts w:cs="Times New Roman"/>
          <w:sz w:val="20"/>
          <w:szCs w:val="20"/>
        </w:rPr>
        <w:t xml:space="preserve"> (</w:t>
      </w:r>
      <w:r w:rsidR="00872F4E">
        <w:rPr>
          <w:rFonts w:cs="Times New Roman"/>
          <w:sz w:val="20"/>
          <w:szCs w:val="20"/>
        </w:rPr>
        <w:t>38 708</w:t>
      </w:r>
      <w:r w:rsidRPr="00AE7DB5">
        <w:rPr>
          <w:rFonts w:cs="Times New Roman"/>
          <w:sz w:val="20"/>
          <w:szCs w:val="20"/>
        </w:rPr>
        <w:t xml:space="preserve"> </w:t>
      </w:r>
      <w:r w:rsidR="00872F4E">
        <w:rPr>
          <w:rFonts w:cs="Times New Roman"/>
          <w:sz w:val="20"/>
          <w:szCs w:val="20"/>
        </w:rPr>
        <w:t>млн</w:t>
      </w:r>
      <w:r w:rsidR="00EA2069" w:rsidRPr="00AE7DB5">
        <w:rPr>
          <w:rFonts w:cs="Times New Roman"/>
          <w:sz w:val="20"/>
          <w:szCs w:val="20"/>
        </w:rPr>
        <w:t xml:space="preserve">. </w:t>
      </w:r>
      <w:r w:rsidRPr="00AE7DB5">
        <w:rPr>
          <w:rFonts w:cs="Times New Roman"/>
          <w:sz w:val="20"/>
          <w:szCs w:val="20"/>
        </w:rPr>
        <w:t>тенге)</w:t>
      </w:r>
      <w:r w:rsidR="00155052" w:rsidRPr="00AE7DB5">
        <w:rPr>
          <w:rFonts w:cs="Times New Roman"/>
          <w:sz w:val="20"/>
          <w:szCs w:val="20"/>
        </w:rPr>
        <w:t>,</w:t>
      </w:r>
      <w:r w:rsidRPr="00AE7DB5">
        <w:rPr>
          <w:rFonts w:cs="Times New Roman"/>
          <w:sz w:val="20"/>
          <w:szCs w:val="20"/>
        </w:rPr>
        <w:t xml:space="preserve"> </w:t>
      </w:r>
      <w:r w:rsidR="00EA2069" w:rsidRPr="00AE7DB5">
        <w:rPr>
          <w:rFonts w:cs="Times New Roman"/>
          <w:sz w:val="20"/>
          <w:szCs w:val="20"/>
        </w:rPr>
        <w:t>Северо-Казахстанской области (</w:t>
      </w:r>
      <w:r w:rsidR="00872F4E">
        <w:rPr>
          <w:rFonts w:cs="Times New Roman"/>
          <w:sz w:val="20"/>
          <w:szCs w:val="20"/>
        </w:rPr>
        <w:t>36 393</w:t>
      </w:r>
      <w:r w:rsidR="00EA2069" w:rsidRPr="00AE7DB5">
        <w:rPr>
          <w:rFonts w:cs="Times New Roman"/>
          <w:sz w:val="20"/>
          <w:szCs w:val="20"/>
        </w:rPr>
        <w:t xml:space="preserve"> </w:t>
      </w:r>
      <w:r w:rsidR="00872F4E">
        <w:rPr>
          <w:rFonts w:cs="Times New Roman"/>
          <w:sz w:val="20"/>
          <w:szCs w:val="20"/>
        </w:rPr>
        <w:t>млн</w:t>
      </w:r>
      <w:r w:rsidR="00EA2069" w:rsidRPr="00AE7DB5">
        <w:rPr>
          <w:rFonts w:cs="Times New Roman"/>
          <w:sz w:val="20"/>
          <w:szCs w:val="20"/>
        </w:rPr>
        <w:t xml:space="preserve">. тенге) </w:t>
      </w:r>
      <w:r w:rsidRPr="00AE7DB5">
        <w:rPr>
          <w:rFonts w:cs="Times New Roman"/>
          <w:sz w:val="20"/>
          <w:szCs w:val="20"/>
        </w:rPr>
        <w:t>и</w:t>
      </w:r>
      <w:r w:rsidR="00C50199" w:rsidRPr="00AE7DB5">
        <w:rPr>
          <w:rFonts w:cs="Times New Roman"/>
          <w:sz w:val="20"/>
          <w:szCs w:val="20"/>
        </w:rPr>
        <w:t xml:space="preserve"> </w:t>
      </w:r>
      <w:r w:rsidR="00155052" w:rsidRPr="00AE7DB5">
        <w:rPr>
          <w:rFonts w:cs="Times New Roman"/>
          <w:sz w:val="20"/>
          <w:szCs w:val="20"/>
        </w:rPr>
        <w:t xml:space="preserve">Костанайской области </w:t>
      </w:r>
      <w:r w:rsidR="00C50199" w:rsidRPr="00AE7DB5">
        <w:rPr>
          <w:rFonts w:cs="Times New Roman"/>
          <w:sz w:val="20"/>
          <w:szCs w:val="20"/>
        </w:rPr>
        <w:t>(</w:t>
      </w:r>
      <w:r w:rsidR="00872F4E">
        <w:rPr>
          <w:rFonts w:cs="Times New Roman"/>
          <w:sz w:val="20"/>
          <w:szCs w:val="20"/>
        </w:rPr>
        <w:t>37 775</w:t>
      </w:r>
      <w:r w:rsidR="00155052" w:rsidRPr="00AE7DB5">
        <w:rPr>
          <w:rFonts w:cs="Times New Roman"/>
          <w:sz w:val="20"/>
          <w:szCs w:val="20"/>
        </w:rPr>
        <w:t xml:space="preserve"> </w:t>
      </w:r>
      <w:r w:rsidR="00872F4E">
        <w:rPr>
          <w:rFonts w:cs="Times New Roman"/>
          <w:sz w:val="20"/>
          <w:szCs w:val="20"/>
        </w:rPr>
        <w:t>млн</w:t>
      </w:r>
      <w:r w:rsidR="00155052" w:rsidRPr="00AE7DB5">
        <w:rPr>
          <w:rFonts w:cs="Times New Roman"/>
          <w:sz w:val="20"/>
          <w:szCs w:val="20"/>
        </w:rPr>
        <w:t xml:space="preserve">. </w:t>
      </w:r>
      <w:r w:rsidRPr="00AE7DB5">
        <w:rPr>
          <w:rFonts w:cs="Times New Roman"/>
          <w:sz w:val="20"/>
          <w:szCs w:val="20"/>
        </w:rPr>
        <w:t>тенге).</w:t>
      </w:r>
    </w:p>
    <w:p w:rsidR="00D651D6" w:rsidRDefault="00D651D6" w:rsidP="00872F4E">
      <w:pPr>
        <w:tabs>
          <w:tab w:val="left" w:pos="284"/>
        </w:tabs>
        <w:spacing w:after="0" w:line="240" w:lineRule="auto"/>
        <w:ind w:firstLine="709"/>
        <w:jc w:val="both"/>
        <w:rPr>
          <w:rFonts w:cs="Times New Roman"/>
          <w:sz w:val="20"/>
          <w:szCs w:val="20"/>
        </w:rPr>
      </w:pPr>
    </w:p>
    <w:tbl>
      <w:tblPr>
        <w:tblW w:w="9786" w:type="dxa"/>
        <w:tblLook w:val="04A0" w:firstRow="1" w:lastRow="0" w:firstColumn="1" w:lastColumn="0" w:noHBand="0" w:noVBand="1"/>
      </w:tblPr>
      <w:tblGrid>
        <w:gridCol w:w="3538"/>
        <w:gridCol w:w="2875"/>
        <w:gridCol w:w="3373"/>
      </w:tblGrid>
      <w:tr w:rsidR="00872F4E" w:rsidRPr="00872F4E" w:rsidTr="00D651D6">
        <w:trPr>
          <w:trHeight w:val="796"/>
        </w:trPr>
        <w:tc>
          <w:tcPr>
            <w:tcW w:w="3538" w:type="dxa"/>
            <w:tcBorders>
              <w:top w:val="single" w:sz="8" w:space="0" w:color="auto"/>
              <w:left w:val="single" w:sz="8" w:space="0" w:color="auto"/>
              <w:bottom w:val="single" w:sz="8" w:space="0" w:color="auto"/>
              <w:right w:val="nil"/>
            </w:tcBorders>
            <w:shd w:val="clear" w:color="auto" w:fill="auto"/>
            <w:noWrap/>
            <w:vAlign w:val="center"/>
            <w:hideMark/>
          </w:tcPr>
          <w:p w:rsidR="00872F4E" w:rsidRPr="00AE7DB5" w:rsidRDefault="00872F4E" w:rsidP="00872F4E">
            <w:pPr>
              <w:spacing w:after="0" w:line="240" w:lineRule="auto"/>
              <w:jc w:val="center"/>
              <w:rPr>
                <w:rFonts w:cs="Times New Roman"/>
                <w:b/>
                <w:sz w:val="20"/>
                <w:szCs w:val="20"/>
              </w:rPr>
            </w:pPr>
            <w:r w:rsidRPr="00AE7DB5">
              <w:rPr>
                <w:rFonts w:cs="Times New Roman"/>
                <w:b/>
                <w:sz w:val="20"/>
                <w:szCs w:val="20"/>
              </w:rPr>
              <w:t>Регион </w:t>
            </w:r>
          </w:p>
        </w:tc>
        <w:tc>
          <w:tcPr>
            <w:tcW w:w="287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72F4E" w:rsidRPr="00AE7DB5" w:rsidRDefault="00872F4E" w:rsidP="00872F4E">
            <w:pPr>
              <w:spacing w:after="0" w:line="240" w:lineRule="auto"/>
              <w:jc w:val="center"/>
              <w:rPr>
                <w:rFonts w:cs="Times New Roman"/>
                <w:b/>
                <w:sz w:val="20"/>
                <w:szCs w:val="20"/>
              </w:rPr>
            </w:pPr>
            <w:r w:rsidRPr="00AE7DB5">
              <w:rPr>
                <w:rFonts w:cs="Times New Roman"/>
                <w:b/>
                <w:sz w:val="20"/>
                <w:szCs w:val="20"/>
              </w:rPr>
              <w:t>млн. тенге</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F4E" w:rsidRPr="00872F4E" w:rsidRDefault="00872F4E" w:rsidP="00872F4E">
            <w:pPr>
              <w:spacing w:after="0" w:line="240" w:lineRule="auto"/>
              <w:jc w:val="center"/>
              <w:rPr>
                <w:rFonts w:ascii="Arial" w:eastAsia="Times New Roman" w:hAnsi="Arial" w:cs="Arial"/>
                <w:b/>
                <w:bCs/>
                <w:sz w:val="20"/>
                <w:szCs w:val="20"/>
                <w:lang w:eastAsia="ru-RU"/>
              </w:rPr>
            </w:pPr>
            <w:r w:rsidRPr="00872F4E">
              <w:rPr>
                <w:rFonts w:cs="Times New Roman"/>
                <w:b/>
                <w:sz w:val="20"/>
                <w:szCs w:val="20"/>
              </w:rPr>
              <w:t>в % к 2019 году</w:t>
            </w:r>
          </w:p>
        </w:tc>
      </w:tr>
      <w:tr w:rsidR="00872F4E" w:rsidRPr="00872F4E" w:rsidTr="00D651D6">
        <w:trPr>
          <w:trHeight w:val="454"/>
        </w:trPr>
        <w:tc>
          <w:tcPr>
            <w:tcW w:w="3538" w:type="dxa"/>
            <w:tcBorders>
              <w:top w:val="nil"/>
              <w:left w:val="single" w:sz="4" w:space="0" w:color="auto"/>
              <w:bottom w:val="single" w:sz="4" w:space="0" w:color="auto"/>
              <w:right w:val="nil"/>
            </w:tcBorders>
            <w:shd w:val="clear" w:color="auto" w:fill="auto"/>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Республика Казахстан</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1 967 991</w:t>
            </w:r>
          </w:p>
        </w:tc>
        <w:tc>
          <w:tcPr>
            <w:tcW w:w="3373" w:type="dxa"/>
            <w:tcBorders>
              <w:top w:val="single" w:sz="4" w:space="0" w:color="auto"/>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133,6</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Акмолинская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65 666</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110,5</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Актюбинская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106 929</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111,8</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Алматинская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134 204</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111,8</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Атырауская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50 049</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68,6</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Западно-Казахстанская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56 758</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110,8</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Жамбылская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63 344</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155,8</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Карагандинская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53 181</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128,3</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Костанайская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37 775</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119,5</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Кызылординская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56 095</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119,2</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Мангистауская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106 288</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122,4</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Павлодарская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38 708</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166,9</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Северо-Казахстанская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36 393</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125,5</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Туркестанская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84 956</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121,9</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Восточно-Казахстанская</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82 538</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172,3</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г. Нур-Султан</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505 223</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142,2</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г. Алматы</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401 131</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156,8</w:t>
            </w:r>
          </w:p>
        </w:tc>
      </w:tr>
      <w:tr w:rsidR="00872F4E" w:rsidRPr="00872F4E" w:rsidTr="00D651D6">
        <w:trPr>
          <w:trHeight w:val="320"/>
        </w:trPr>
        <w:tc>
          <w:tcPr>
            <w:tcW w:w="3538" w:type="dxa"/>
            <w:tcBorders>
              <w:top w:val="nil"/>
              <w:left w:val="single" w:sz="4" w:space="0" w:color="auto"/>
              <w:bottom w:val="single" w:sz="4" w:space="0" w:color="auto"/>
              <w:right w:val="nil"/>
            </w:tcBorders>
            <w:shd w:val="clear" w:color="auto" w:fill="auto"/>
            <w:noWrap/>
            <w:vAlign w:val="bottom"/>
            <w:hideMark/>
          </w:tcPr>
          <w:p w:rsidR="00872F4E" w:rsidRPr="00872F4E" w:rsidRDefault="00872F4E" w:rsidP="00872F4E">
            <w:pPr>
              <w:spacing w:after="0" w:line="240" w:lineRule="auto"/>
              <w:rPr>
                <w:rFonts w:cs="Times New Roman"/>
                <w:sz w:val="20"/>
                <w:szCs w:val="20"/>
              </w:rPr>
            </w:pPr>
            <w:r w:rsidRPr="00872F4E">
              <w:rPr>
                <w:rFonts w:cs="Times New Roman"/>
                <w:sz w:val="20"/>
                <w:szCs w:val="20"/>
              </w:rPr>
              <w:t>г. Шымкент</w:t>
            </w:r>
          </w:p>
        </w:tc>
        <w:tc>
          <w:tcPr>
            <w:tcW w:w="2875" w:type="dxa"/>
            <w:tcBorders>
              <w:top w:val="nil"/>
              <w:left w:val="single" w:sz="4" w:space="0" w:color="auto"/>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88 753</w:t>
            </w:r>
          </w:p>
        </w:tc>
        <w:tc>
          <w:tcPr>
            <w:tcW w:w="3373" w:type="dxa"/>
            <w:tcBorders>
              <w:top w:val="nil"/>
              <w:left w:val="nil"/>
              <w:bottom w:val="single" w:sz="4" w:space="0" w:color="auto"/>
              <w:right w:val="single" w:sz="4" w:space="0" w:color="auto"/>
            </w:tcBorders>
            <w:shd w:val="clear" w:color="auto" w:fill="auto"/>
            <w:noWrap/>
            <w:vAlign w:val="bottom"/>
            <w:hideMark/>
          </w:tcPr>
          <w:p w:rsidR="00872F4E" w:rsidRPr="00872F4E" w:rsidRDefault="00872F4E" w:rsidP="00872F4E">
            <w:pPr>
              <w:spacing w:after="0" w:line="240" w:lineRule="auto"/>
              <w:jc w:val="right"/>
              <w:rPr>
                <w:rFonts w:cs="Times New Roman"/>
                <w:sz w:val="20"/>
                <w:szCs w:val="20"/>
              </w:rPr>
            </w:pPr>
            <w:r w:rsidRPr="00872F4E">
              <w:rPr>
                <w:rFonts w:cs="Times New Roman"/>
                <w:sz w:val="20"/>
                <w:szCs w:val="20"/>
              </w:rPr>
              <w:t xml:space="preserve">    151,4</w:t>
            </w:r>
          </w:p>
        </w:tc>
      </w:tr>
    </w:tbl>
    <w:p w:rsidR="004F0C5A" w:rsidRPr="00AE7DB5" w:rsidRDefault="004F0C5A" w:rsidP="004F0C5A">
      <w:pPr>
        <w:tabs>
          <w:tab w:val="left" w:pos="284"/>
        </w:tabs>
        <w:spacing w:after="0" w:line="240" w:lineRule="auto"/>
        <w:rPr>
          <w:rFonts w:cs="Times New Roman"/>
          <w:b/>
          <w:bCs/>
          <w:sz w:val="20"/>
          <w:szCs w:val="20"/>
        </w:rPr>
      </w:pPr>
      <w:r w:rsidRPr="00AE7DB5">
        <w:rPr>
          <w:rFonts w:cs="Times New Roman"/>
          <w:i/>
          <w:sz w:val="20"/>
          <w:szCs w:val="20"/>
        </w:rPr>
        <w:t>Источник: Комитет по статистике МНЭ РК</w:t>
      </w:r>
    </w:p>
    <w:p w:rsidR="004F0C5A" w:rsidRPr="00AE7DB5" w:rsidRDefault="004F0C5A" w:rsidP="00C50199">
      <w:pPr>
        <w:tabs>
          <w:tab w:val="left" w:pos="284"/>
        </w:tabs>
        <w:spacing w:after="0" w:line="240" w:lineRule="auto"/>
        <w:ind w:firstLine="709"/>
        <w:jc w:val="both"/>
        <w:rPr>
          <w:rFonts w:cs="Times New Roman"/>
          <w:sz w:val="20"/>
          <w:szCs w:val="20"/>
        </w:rPr>
      </w:pPr>
    </w:p>
    <w:p w:rsidR="00847F3E" w:rsidRPr="00AE7DB5" w:rsidRDefault="00847F3E" w:rsidP="00847F3E">
      <w:pPr>
        <w:pStyle w:val="a3"/>
        <w:numPr>
          <w:ilvl w:val="0"/>
          <w:numId w:val="2"/>
        </w:numPr>
        <w:tabs>
          <w:tab w:val="left" w:pos="284"/>
          <w:tab w:val="left" w:pos="567"/>
        </w:tabs>
        <w:spacing w:after="0" w:line="240" w:lineRule="auto"/>
        <w:jc w:val="both"/>
        <w:rPr>
          <w:rFonts w:cs="Times New Roman"/>
          <w:b/>
          <w:color w:val="1F4E79" w:themeColor="accent1" w:themeShade="80"/>
          <w:sz w:val="20"/>
          <w:szCs w:val="20"/>
        </w:rPr>
      </w:pPr>
      <w:r w:rsidRPr="00AE7DB5">
        <w:rPr>
          <w:rFonts w:cs="Times New Roman"/>
          <w:b/>
          <w:color w:val="1F4E79" w:themeColor="accent1" w:themeShade="80"/>
          <w:sz w:val="20"/>
          <w:szCs w:val="20"/>
        </w:rPr>
        <w:t>Цены на недвижимость</w:t>
      </w:r>
      <w:r w:rsidR="000D12D7" w:rsidRPr="00AE7DB5">
        <w:rPr>
          <w:rFonts w:cs="Times New Roman"/>
          <w:b/>
          <w:color w:val="1F4E79" w:themeColor="accent1" w:themeShade="80"/>
          <w:sz w:val="20"/>
          <w:szCs w:val="20"/>
        </w:rPr>
        <w:t xml:space="preserve"> </w:t>
      </w:r>
      <w:r w:rsidR="000D12D7" w:rsidRPr="00AE7DB5">
        <w:rPr>
          <w:rFonts w:cs="Times New Roman"/>
          <w:b/>
          <w:color w:val="1F4E79" w:themeColor="accent1" w:themeShade="80"/>
          <w:sz w:val="20"/>
          <w:szCs w:val="20"/>
          <w:lang w:val="kk-KZ"/>
        </w:rPr>
        <w:t>и аренду</w:t>
      </w:r>
    </w:p>
    <w:p w:rsidR="00E3230D" w:rsidRPr="00AE7DB5" w:rsidRDefault="00E3230D" w:rsidP="00E3230D">
      <w:pPr>
        <w:pStyle w:val="a3"/>
        <w:tabs>
          <w:tab w:val="left" w:pos="284"/>
          <w:tab w:val="left" w:pos="567"/>
        </w:tabs>
        <w:spacing w:after="0" w:line="240" w:lineRule="auto"/>
        <w:jc w:val="both"/>
        <w:rPr>
          <w:rFonts w:cs="Times New Roman"/>
          <w:b/>
          <w:color w:val="1F4E79" w:themeColor="accent1" w:themeShade="80"/>
          <w:sz w:val="20"/>
          <w:szCs w:val="20"/>
        </w:rPr>
      </w:pPr>
    </w:p>
    <w:p w:rsidR="00C50199" w:rsidRPr="00AE7DB5" w:rsidRDefault="00C50199" w:rsidP="00D651D6">
      <w:pPr>
        <w:tabs>
          <w:tab w:val="left" w:pos="284"/>
        </w:tabs>
        <w:spacing w:after="0" w:line="240" w:lineRule="auto"/>
        <w:jc w:val="center"/>
        <w:rPr>
          <w:rFonts w:cs="Times New Roman"/>
          <w:noProof/>
          <w:sz w:val="20"/>
          <w:szCs w:val="20"/>
          <w:lang w:eastAsia="ru-RU"/>
        </w:rPr>
      </w:pPr>
      <w:r w:rsidRPr="00AE7DB5">
        <w:rPr>
          <w:rFonts w:cs="Times New Roman"/>
          <w:b/>
          <w:sz w:val="20"/>
          <w:szCs w:val="20"/>
        </w:rPr>
        <w:t>Динамика цен на недвижимость</w:t>
      </w:r>
      <w:r w:rsidR="00D607CC" w:rsidRPr="00AE7DB5">
        <w:rPr>
          <w:rFonts w:cs="Times New Roman"/>
          <w:b/>
          <w:sz w:val="20"/>
          <w:szCs w:val="20"/>
        </w:rPr>
        <w:t>.</w:t>
      </w:r>
    </w:p>
    <w:p w:rsidR="00852DE4" w:rsidRDefault="00852DE4" w:rsidP="00D651D6">
      <w:pPr>
        <w:spacing w:after="0" w:line="240" w:lineRule="auto"/>
        <w:ind w:firstLine="708"/>
        <w:jc w:val="both"/>
        <w:rPr>
          <w:rFonts w:ascii="Calibri" w:hAnsi="Calibri" w:cs="Calibri"/>
          <w:sz w:val="20"/>
          <w:szCs w:val="20"/>
        </w:rPr>
      </w:pPr>
      <w:r w:rsidRPr="00F32DCD">
        <w:rPr>
          <w:rFonts w:ascii="Calibri" w:hAnsi="Calibri" w:cs="Calibri"/>
          <w:sz w:val="20"/>
          <w:szCs w:val="20"/>
        </w:rPr>
        <w:t xml:space="preserve">В </w:t>
      </w:r>
      <w:r>
        <w:rPr>
          <w:rFonts w:ascii="Calibri" w:hAnsi="Calibri" w:cs="Calibri"/>
          <w:sz w:val="20"/>
          <w:szCs w:val="20"/>
          <w:lang w:val="kk-KZ"/>
        </w:rPr>
        <w:t>декабре</w:t>
      </w:r>
      <w:r w:rsidRPr="00F32DCD">
        <w:rPr>
          <w:rFonts w:ascii="Calibri" w:hAnsi="Calibri" w:cs="Calibri"/>
          <w:sz w:val="20"/>
          <w:szCs w:val="20"/>
        </w:rPr>
        <w:t xml:space="preserve"> 20</w:t>
      </w:r>
      <w:r w:rsidRPr="00F32DCD">
        <w:rPr>
          <w:rFonts w:ascii="Calibri" w:hAnsi="Calibri" w:cs="Calibri"/>
          <w:sz w:val="20"/>
          <w:szCs w:val="20"/>
          <w:lang w:val="kk-KZ"/>
        </w:rPr>
        <w:t>20</w:t>
      </w:r>
      <w:r w:rsidRPr="00F32DCD">
        <w:rPr>
          <w:rFonts w:ascii="Calibri" w:hAnsi="Calibri" w:cs="Calibri"/>
          <w:sz w:val="20"/>
          <w:szCs w:val="20"/>
        </w:rPr>
        <w:t xml:space="preserve"> года по сравнению с предыдущим месяцем в среднем по республике цен</w:t>
      </w:r>
      <w:r w:rsidRPr="00F32DCD">
        <w:rPr>
          <w:rFonts w:ascii="Calibri" w:hAnsi="Calibri" w:cs="Calibri"/>
          <w:sz w:val="20"/>
          <w:szCs w:val="20"/>
          <w:lang w:val="kk-KZ"/>
        </w:rPr>
        <w:t>а</w:t>
      </w:r>
      <w:r w:rsidRPr="00F32DCD">
        <w:rPr>
          <w:rFonts w:ascii="Calibri" w:hAnsi="Calibri" w:cs="Calibri"/>
          <w:sz w:val="20"/>
          <w:szCs w:val="20"/>
        </w:rPr>
        <w:t xml:space="preserve"> продажи одного квадратного метра нового </w:t>
      </w:r>
      <w:r w:rsidRPr="00F32DCD">
        <w:rPr>
          <w:rFonts w:ascii="Calibri" w:hAnsi="Calibri" w:cs="Calibri"/>
          <w:sz w:val="20"/>
          <w:szCs w:val="20"/>
          <w:lang w:val="kk-KZ"/>
        </w:rPr>
        <w:t>жилья</w:t>
      </w:r>
      <w:r w:rsidRPr="00F32DCD">
        <w:rPr>
          <w:rFonts w:ascii="Calibri" w:hAnsi="Calibri" w:cs="Calibri"/>
          <w:sz w:val="20"/>
          <w:szCs w:val="20"/>
        </w:rPr>
        <w:t xml:space="preserve"> повысил</w:t>
      </w:r>
      <w:r w:rsidRPr="00F32DCD">
        <w:rPr>
          <w:rFonts w:ascii="Calibri" w:hAnsi="Calibri" w:cs="Calibri"/>
          <w:sz w:val="20"/>
          <w:szCs w:val="20"/>
          <w:lang w:val="kk-KZ"/>
        </w:rPr>
        <w:t>а</w:t>
      </w:r>
      <w:r w:rsidRPr="00F32DCD">
        <w:rPr>
          <w:rFonts w:ascii="Calibri" w:hAnsi="Calibri" w:cs="Calibri"/>
          <w:sz w:val="20"/>
          <w:szCs w:val="20"/>
        </w:rPr>
        <w:t>сь</w:t>
      </w:r>
      <w:r w:rsidRPr="00F32DCD">
        <w:rPr>
          <w:rFonts w:ascii="Calibri" w:hAnsi="Calibri" w:cs="Calibri"/>
          <w:sz w:val="20"/>
          <w:szCs w:val="20"/>
          <w:lang w:val="kk-KZ"/>
        </w:rPr>
        <w:t xml:space="preserve"> на 0,</w:t>
      </w:r>
      <w:r>
        <w:rPr>
          <w:rFonts w:ascii="Calibri" w:hAnsi="Calibri" w:cs="Calibri"/>
          <w:sz w:val="20"/>
          <w:szCs w:val="20"/>
          <w:lang w:val="kk-KZ"/>
        </w:rPr>
        <w:t>7</w:t>
      </w:r>
      <w:r w:rsidRPr="00F32DCD">
        <w:rPr>
          <w:rFonts w:ascii="Calibri" w:hAnsi="Calibri" w:cs="Calibri"/>
          <w:sz w:val="20"/>
          <w:szCs w:val="20"/>
        </w:rPr>
        <w:t>%</w:t>
      </w:r>
      <w:r w:rsidRPr="00F32DCD">
        <w:rPr>
          <w:rFonts w:ascii="Calibri" w:hAnsi="Calibri" w:cs="Calibri"/>
          <w:sz w:val="20"/>
          <w:szCs w:val="20"/>
          <w:lang w:val="kk-KZ"/>
        </w:rPr>
        <w:t xml:space="preserve"> </w:t>
      </w:r>
      <w:r w:rsidRPr="00F32DCD">
        <w:rPr>
          <w:rFonts w:ascii="Calibri" w:hAnsi="Calibri" w:cs="Calibri"/>
          <w:sz w:val="20"/>
          <w:szCs w:val="20"/>
        </w:rPr>
        <w:t>и составил</w:t>
      </w:r>
      <w:r>
        <w:rPr>
          <w:rFonts w:ascii="Calibri" w:hAnsi="Calibri" w:cs="Calibri"/>
          <w:sz w:val="20"/>
          <w:szCs w:val="20"/>
          <w:lang w:val="kk-KZ"/>
        </w:rPr>
        <w:t>а 307,6</w:t>
      </w:r>
      <w:r w:rsidRPr="00F32DCD">
        <w:rPr>
          <w:rFonts w:ascii="Calibri" w:hAnsi="Calibri" w:cs="Calibri"/>
          <w:sz w:val="20"/>
          <w:szCs w:val="20"/>
          <w:lang w:val="kk-KZ"/>
        </w:rPr>
        <w:t xml:space="preserve"> </w:t>
      </w:r>
      <w:r w:rsidRPr="00F32DCD">
        <w:rPr>
          <w:rFonts w:ascii="Calibri" w:hAnsi="Calibri" w:cs="Calibri"/>
          <w:sz w:val="20"/>
          <w:szCs w:val="20"/>
        </w:rPr>
        <w:t>тыс. тенге</w:t>
      </w:r>
      <w:r w:rsidRPr="00F32DCD">
        <w:rPr>
          <w:rFonts w:ascii="Calibri" w:hAnsi="Calibri" w:cs="Calibri"/>
          <w:sz w:val="20"/>
          <w:szCs w:val="20"/>
          <w:lang w:val="kk-KZ"/>
        </w:rPr>
        <w:t xml:space="preserve">, </w:t>
      </w:r>
      <w:r w:rsidRPr="00F32DCD">
        <w:rPr>
          <w:rFonts w:ascii="Calibri" w:hAnsi="Calibri" w:cs="Calibri"/>
          <w:sz w:val="20"/>
          <w:szCs w:val="20"/>
        </w:rPr>
        <w:t>перепродажи благоустроенного</w:t>
      </w:r>
      <w:r>
        <w:rPr>
          <w:rFonts w:ascii="Calibri" w:hAnsi="Calibri" w:cs="Calibri"/>
          <w:sz w:val="20"/>
          <w:szCs w:val="20"/>
          <w:lang w:val="kk-KZ"/>
        </w:rPr>
        <w:t xml:space="preserve"> – соответственно на 1</w:t>
      </w:r>
      <w:r w:rsidRPr="00F32DCD">
        <w:rPr>
          <w:rFonts w:ascii="Calibri" w:hAnsi="Calibri" w:cs="Calibri"/>
          <w:sz w:val="20"/>
          <w:szCs w:val="20"/>
          <w:lang w:val="kk-KZ"/>
        </w:rPr>
        <w:t>,</w:t>
      </w:r>
      <w:r>
        <w:rPr>
          <w:rFonts w:ascii="Calibri" w:hAnsi="Calibri" w:cs="Calibri"/>
          <w:sz w:val="20"/>
          <w:szCs w:val="20"/>
          <w:lang w:val="kk-KZ"/>
        </w:rPr>
        <w:t>8</w:t>
      </w:r>
      <w:r w:rsidRPr="00F32DCD">
        <w:rPr>
          <w:rFonts w:ascii="Calibri" w:hAnsi="Calibri" w:cs="Calibri"/>
          <w:sz w:val="20"/>
          <w:szCs w:val="20"/>
        </w:rPr>
        <w:t xml:space="preserve">% </w:t>
      </w:r>
      <w:r w:rsidRPr="00F32DCD">
        <w:rPr>
          <w:rFonts w:ascii="Calibri" w:hAnsi="Calibri" w:cs="Calibri"/>
          <w:sz w:val="20"/>
          <w:szCs w:val="20"/>
          <w:lang w:val="kk-KZ"/>
        </w:rPr>
        <w:t>и составила 2</w:t>
      </w:r>
      <w:r>
        <w:rPr>
          <w:rFonts w:ascii="Calibri" w:hAnsi="Calibri" w:cs="Calibri"/>
          <w:sz w:val="20"/>
          <w:szCs w:val="20"/>
          <w:lang w:val="kk-KZ"/>
        </w:rPr>
        <w:t>28</w:t>
      </w:r>
      <w:r w:rsidRPr="00F32DCD">
        <w:rPr>
          <w:rFonts w:ascii="Calibri" w:hAnsi="Calibri" w:cs="Calibri"/>
          <w:sz w:val="20"/>
          <w:szCs w:val="20"/>
          <w:lang w:val="kk-KZ"/>
        </w:rPr>
        <w:t>,</w:t>
      </w:r>
      <w:r>
        <w:rPr>
          <w:rFonts w:ascii="Calibri" w:hAnsi="Calibri" w:cs="Calibri"/>
          <w:sz w:val="20"/>
          <w:szCs w:val="20"/>
          <w:lang w:val="kk-KZ"/>
        </w:rPr>
        <w:t>2</w:t>
      </w:r>
      <w:r w:rsidRPr="00F32DCD">
        <w:rPr>
          <w:rFonts w:ascii="Calibri" w:hAnsi="Calibri" w:cs="Calibri"/>
          <w:sz w:val="20"/>
          <w:szCs w:val="20"/>
          <w:lang w:val="kk-KZ"/>
        </w:rPr>
        <w:t xml:space="preserve"> </w:t>
      </w:r>
      <w:r w:rsidRPr="00F32DCD">
        <w:rPr>
          <w:rFonts w:ascii="Calibri" w:hAnsi="Calibri" w:cs="Calibri"/>
          <w:sz w:val="20"/>
          <w:szCs w:val="20"/>
        </w:rPr>
        <w:t>тыс</w:t>
      </w:r>
      <w:r w:rsidRPr="00F32DCD">
        <w:rPr>
          <w:rFonts w:ascii="Calibri" w:hAnsi="Calibri" w:cs="Calibri"/>
          <w:sz w:val="20"/>
          <w:szCs w:val="20"/>
          <w:lang w:val="kk-KZ"/>
        </w:rPr>
        <w:t>.</w:t>
      </w:r>
      <w:r w:rsidRPr="00F32DCD">
        <w:rPr>
          <w:rFonts w:ascii="Calibri" w:hAnsi="Calibri" w:cs="Calibri"/>
          <w:sz w:val="20"/>
          <w:szCs w:val="20"/>
        </w:rPr>
        <w:t xml:space="preserve"> тенге</w:t>
      </w:r>
      <w:r w:rsidRPr="00F32DCD">
        <w:rPr>
          <w:rFonts w:ascii="Calibri" w:hAnsi="Calibri" w:cs="Calibri"/>
          <w:sz w:val="20"/>
          <w:szCs w:val="20"/>
          <w:lang w:val="kk-KZ"/>
        </w:rPr>
        <w:t>.</w:t>
      </w:r>
      <w:r w:rsidRPr="00F32DCD">
        <w:rPr>
          <w:rFonts w:ascii="Calibri" w:hAnsi="Calibri" w:cs="Calibri"/>
          <w:sz w:val="20"/>
          <w:szCs w:val="20"/>
        </w:rPr>
        <w:t xml:space="preserve"> Арендная плата за благоустроенное жилье </w:t>
      </w:r>
      <w:r>
        <w:rPr>
          <w:rFonts w:ascii="Calibri" w:hAnsi="Calibri" w:cs="Calibri"/>
          <w:sz w:val="20"/>
          <w:szCs w:val="20"/>
          <w:lang w:val="kk-KZ"/>
        </w:rPr>
        <w:t>стала выше на 1,2% и составила 1639 тенге</w:t>
      </w:r>
      <w:r w:rsidRPr="00F32DCD">
        <w:rPr>
          <w:rFonts w:ascii="Calibri" w:hAnsi="Calibri" w:cs="Calibri"/>
          <w:sz w:val="20"/>
          <w:szCs w:val="20"/>
        </w:rPr>
        <w:t>.</w:t>
      </w:r>
    </w:p>
    <w:p w:rsidR="00852DE4" w:rsidRPr="00872D20" w:rsidRDefault="00852DE4" w:rsidP="00852DE4">
      <w:pPr>
        <w:ind w:firstLine="709"/>
        <w:jc w:val="both"/>
        <w:rPr>
          <w:rFonts w:ascii="Calibri" w:hAnsi="Calibri" w:cs="Calibri"/>
          <w:snapToGrid w:val="0"/>
          <w:sz w:val="18"/>
          <w:szCs w:val="18"/>
        </w:rPr>
      </w:pPr>
      <w:r>
        <w:rPr>
          <w:rFonts w:ascii="Calibri" w:hAnsi="Calibri" w:cs="Calibri"/>
          <w:sz w:val="20"/>
          <w:szCs w:val="20"/>
          <w:lang w:val="kk-KZ"/>
        </w:rPr>
        <w:t>За 2020 год (декабрь</w:t>
      </w:r>
      <w:r>
        <w:rPr>
          <w:rFonts w:ascii="Calibri" w:hAnsi="Calibri" w:cs="Calibri"/>
          <w:snapToGrid w:val="0"/>
          <w:sz w:val="20"/>
          <w:szCs w:val="20"/>
          <w:lang w:val="kk-KZ"/>
        </w:rPr>
        <w:t xml:space="preserve"> </w:t>
      </w:r>
      <w:r w:rsidRPr="00872D20">
        <w:rPr>
          <w:rFonts w:ascii="Calibri" w:hAnsi="Calibri" w:cs="Calibri"/>
          <w:snapToGrid w:val="0"/>
          <w:sz w:val="20"/>
          <w:szCs w:val="20"/>
        </w:rPr>
        <w:t>20</w:t>
      </w:r>
      <w:r w:rsidRPr="00872D20">
        <w:rPr>
          <w:rFonts w:ascii="Calibri" w:hAnsi="Calibri" w:cs="Calibri"/>
          <w:snapToGrid w:val="0"/>
          <w:sz w:val="20"/>
          <w:szCs w:val="20"/>
          <w:lang w:val="kk-KZ"/>
        </w:rPr>
        <w:t>20</w:t>
      </w:r>
      <w:r w:rsidRPr="00872D20">
        <w:rPr>
          <w:rFonts w:ascii="Calibri" w:hAnsi="Calibri" w:cs="Calibri"/>
          <w:snapToGrid w:val="0"/>
          <w:sz w:val="20"/>
          <w:szCs w:val="20"/>
        </w:rPr>
        <w:t xml:space="preserve"> год</w:t>
      </w:r>
      <w:r w:rsidRPr="00872D20">
        <w:rPr>
          <w:rFonts w:ascii="Calibri" w:hAnsi="Calibri" w:cs="Calibri"/>
          <w:snapToGrid w:val="0"/>
          <w:sz w:val="20"/>
          <w:szCs w:val="20"/>
          <w:lang w:val="kk-KZ"/>
        </w:rPr>
        <w:t xml:space="preserve">а </w:t>
      </w:r>
      <w:r>
        <w:rPr>
          <w:rFonts w:ascii="Calibri" w:hAnsi="Calibri" w:cs="Calibri"/>
          <w:snapToGrid w:val="0"/>
          <w:sz w:val="20"/>
          <w:szCs w:val="20"/>
          <w:lang w:val="kk-KZ"/>
        </w:rPr>
        <w:t xml:space="preserve">к декабрю 2019 года) уровень </w:t>
      </w:r>
      <w:r>
        <w:rPr>
          <w:rFonts w:ascii="Calibri" w:hAnsi="Calibri" w:cs="Calibri"/>
          <w:snapToGrid w:val="0"/>
          <w:sz w:val="20"/>
          <w:szCs w:val="20"/>
        </w:rPr>
        <w:t>цен на</w:t>
      </w:r>
      <w:r w:rsidRPr="00872D20">
        <w:rPr>
          <w:rFonts w:ascii="Calibri" w:hAnsi="Calibri" w:cs="Calibri"/>
          <w:snapToGrid w:val="0"/>
          <w:sz w:val="20"/>
          <w:szCs w:val="20"/>
        </w:rPr>
        <w:t xml:space="preserve"> </w:t>
      </w:r>
      <w:r w:rsidRPr="00872D20">
        <w:rPr>
          <w:rFonts w:ascii="Calibri" w:hAnsi="Calibri" w:cs="Calibri"/>
          <w:snapToGrid w:val="0"/>
          <w:sz w:val="20"/>
          <w:szCs w:val="20"/>
          <w:lang w:val="kk-KZ"/>
        </w:rPr>
        <w:t>перепродаж</w:t>
      </w:r>
      <w:r>
        <w:rPr>
          <w:rFonts w:ascii="Calibri" w:hAnsi="Calibri" w:cs="Calibri"/>
          <w:snapToGrid w:val="0"/>
          <w:sz w:val="20"/>
          <w:szCs w:val="20"/>
          <w:lang w:val="kk-KZ"/>
        </w:rPr>
        <w:t>у</w:t>
      </w:r>
      <w:r w:rsidRPr="00872D20">
        <w:rPr>
          <w:rFonts w:ascii="Calibri" w:hAnsi="Calibri" w:cs="Calibri"/>
          <w:snapToGrid w:val="0"/>
          <w:sz w:val="20"/>
          <w:szCs w:val="20"/>
        </w:rPr>
        <w:t xml:space="preserve"> благоустроенного</w:t>
      </w:r>
      <w:r w:rsidRPr="00872D20">
        <w:rPr>
          <w:rFonts w:ascii="Calibri" w:hAnsi="Calibri" w:cs="Calibri"/>
          <w:snapToGrid w:val="0"/>
          <w:sz w:val="20"/>
          <w:szCs w:val="20"/>
          <w:lang w:val="kk-KZ"/>
        </w:rPr>
        <w:t xml:space="preserve"> жилья</w:t>
      </w:r>
      <w:r>
        <w:rPr>
          <w:rFonts w:ascii="Calibri" w:hAnsi="Calibri" w:cs="Calibri"/>
          <w:snapToGrid w:val="0"/>
          <w:sz w:val="20"/>
          <w:szCs w:val="20"/>
          <w:lang w:val="kk-KZ"/>
        </w:rPr>
        <w:t xml:space="preserve"> возрос</w:t>
      </w:r>
      <w:r w:rsidRPr="00872D20">
        <w:rPr>
          <w:rFonts w:ascii="Calibri" w:hAnsi="Calibri" w:cs="Calibri"/>
          <w:snapToGrid w:val="0"/>
          <w:sz w:val="20"/>
          <w:szCs w:val="20"/>
        </w:rPr>
        <w:t xml:space="preserve"> </w:t>
      </w:r>
      <w:r>
        <w:rPr>
          <w:rFonts w:ascii="Calibri" w:hAnsi="Calibri" w:cs="Calibri"/>
          <w:snapToGrid w:val="0"/>
          <w:sz w:val="20"/>
          <w:szCs w:val="20"/>
          <w:lang w:val="kk-KZ"/>
        </w:rPr>
        <w:t xml:space="preserve">на 13,2%, </w:t>
      </w:r>
      <w:r w:rsidRPr="00872D20">
        <w:rPr>
          <w:rFonts w:ascii="Calibri" w:hAnsi="Calibri" w:cs="Calibri"/>
          <w:snapToGrid w:val="0"/>
          <w:sz w:val="20"/>
          <w:szCs w:val="20"/>
        </w:rPr>
        <w:t>продажи нового</w:t>
      </w:r>
      <w:r>
        <w:rPr>
          <w:rFonts w:ascii="Calibri" w:hAnsi="Calibri" w:cs="Calibri"/>
          <w:snapToGrid w:val="0"/>
          <w:sz w:val="20"/>
          <w:szCs w:val="20"/>
          <w:lang w:val="kk-KZ"/>
        </w:rPr>
        <w:t xml:space="preserve"> – на 5</w:t>
      </w:r>
      <w:r w:rsidRPr="007436AC">
        <w:rPr>
          <w:rFonts w:ascii="Calibri" w:hAnsi="Calibri" w:cs="Calibri"/>
          <w:snapToGrid w:val="0"/>
          <w:sz w:val="20"/>
          <w:szCs w:val="20"/>
        </w:rPr>
        <w:t>%</w:t>
      </w:r>
      <w:r w:rsidRPr="007436AC">
        <w:rPr>
          <w:rFonts w:ascii="Calibri" w:hAnsi="Calibri" w:cs="Calibri"/>
          <w:snapToGrid w:val="0"/>
          <w:sz w:val="20"/>
          <w:szCs w:val="20"/>
          <w:lang w:val="kk-KZ"/>
        </w:rPr>
        <w:t xml:space="preserve">. </w:t>
      </w:r>
      <w:r w:rsidRPr="007436AC">
        <w:rPr>
          <w:rFonts w:ascii="Calibri" w:hAnsi="Calibri" w:cs="Calibri"/>
          <w:snapToGrid w:val="0"/>
          <w:sz w:val="20"/>
          <w:szCs w:val="20"/>
        </w:rPr>
        <w:t>Арендная плата за благоустроенное жиль</w:t>
      </w:r>
      <w:r>
        <w:rPr>
          <w:rFonts w:ascii="Calibri" w:hAnsi="Calibri" w:cs="Calibri"/>
          <w:snapToGrid w:val="0"/>
          <w:sz w:val="20"/>
          <w:szCs w:val="20"/>
          <w:lang w:val="kk-KZ"/>
        </w:rPr>
        <w:t>е повысилась на 8,1</w:t>
      </w:r>
      <w:r w:rsidRPr="007436AC">
        <w:rPr>
          <w:rFonts w:ascii="Calibri" w:hAnsi="Calibri" w:cs="Calibri"/>
          <w:snapToGrid w:val="0"/>
          <w:sz w:val="20"/>
          <w:szCs w:val="20"/>
          <w:lang w:val="kk-KZ"/>
        </w:rPr>
        <w:t>%</w:t>
      </w:r>
      <w:r w:rsidRPr="007436AC">
        <w:rPr>
          <w:rFonts w:ascii="Calibri" w:hAnsi="Calibri" w:cs="Calibri"/>
          <w:sz w:val="20"/>
          <w:szCs w:val="20"/>
          <w:lang w:val="kk-KZ"/>
        </w:rPr>
        <w:t>.</w:t>
      </w:r>
    </w:p>
    <w:p w:rsidR="004243F5" w:rsidRPr="00AE7DB5" w:rsidRDefault="004243F5" w:rsidP="00852DE4">
      <w:pPr>
        <w:tabs>
          <w:tab w:val="left" w:pos="284"/>
        </w:tabs>
        <w:spacing w:after="0" w:line="240" w:lineRule="auto"/>
        <w:ind w:firstLine="709"/>
        <w:jc w:val="both"/>
        <w:rPr>
          <w:rFonts w:cs="Times New Roman"/>
          <w:bCs/>
          <w:sz w:val="20"/>
          <w:szCs w:val="20"/>
        </w:rPr>
      </w:pPr>
      <w:r w:rsidRPr="00AE7DB5">
        <w:rPr>
          <w:rFonts w:cs="Times New Roman"/>
          <w:bCs/>
          <w:sz w:val="20"/>
          <w:szCs w:val="20"/>
        </w:rPr>
        <w:t>Пятёрка городов РК с самым дорогим за 1 кв м. новым жильём в декабре 20</w:t>
      </w:r>
      <w:r w:rsidR="00E73314">
        <w:rPr>
          <w:rFonts w:cs="Times New Roman"/>
          <w:bCs/>
          <w:sz w:val="20"/>
          <w:szCs w:val="20"/>
        </w:rPr>
        <w:t>20</w:t>
      </w:r>
      <w:r w:rsidRPr="00AE7DB5">
        <w:rPr>
          <w:rFonts w:cs="Times New Roman"/>
          <w:bCs/>
          <w:sz w:val="20"/>
          <w:szCs w:val="20"/>
        </w:rPr>
        <w:t xml:space="preserve"> года:</w:t>
      </w:r>
    </w:p>
    <w:p w:rsidR="00DD661D" w:rsidRPr="00AE7DB5" w:rsidRDefault="004243F5" w:rsidP="00DD661D">
      <w:pPr>
        <w:pStyle w:val="a3"/>
        <w:numPr>
          <w:ilvl w:val="0"/>
          <w:numId w:val="7"/>
        </w:numPr>
        <w:tabs>
          <w:tab w:val="left" w:pos="284"/>
        </w:tabs>
        <w:spacing w:after="0" w:line="240" w:lineRule="auto"/>
        <w:jc w:val="both"/>
        <w:rPr>
          <w:rFonts w:cs="Times New Roman"/>
          <w:bCs/>
          <w:sz w:val="20"/>
          <w:szCs w:val="20"/>
        </w:rPr>
      </w:pPr>
      <w:r w:rsidRPr="00AE7DB5">
        <w:rPr>
          <w:rFonts w:cs="Times New Roman"/>
          <w:bCs/>
          <w:sz w:val="20"/>
          <w:szCs w:val="20"/>
        </w:rPr>
        <w:t xml:space="preserve">Нур-Султан – </w:t>
      </w:r>
      <w:r w:rsidR="00852DE4">
        <w:rPr>
          <w:rFonts w:cs="Times New Roman"/>
          <w:bCs/>
          <w:sz w:val="20"/>
          <w:szCs w:val="20"/>
        </w:rPr>
        <w:t>392,7</w:t>
      </w:r>
      <w:r w:rsidRPr="00AE7DB5">
        <w:rPr>
          <w:rFonts w:cs="Times New Roman"/>
          <w:bCs/>
          <w:sz w:val="20"/>
          <w:szCs w:val="20"/>
        </w:rPr>
        <w:t xml:space="preserve"> </w:t>
      </w:r>
      <w:r w:rsidR="00DD661D" w:rsidRPr="00AE7DB5">
        <w:rPr>
          <w:rFonts w:cs="Times New Roman"/>
          <w:bCs/>
          <w:sz w:val="20"/>
          <w:szCs w:val="20"/>
        </w:rPr>
        <w:t xml:space="preserve">тыс. тенге; </w:t>
      </w:r>
    </w:p>
    <w:p w:rsidR="00DD661D" w:rsidRPr="00AE7DB5" w:rsidRDefault="00DD661D" w:rsidP="00DD661D">
      <w:pPr>
        <w:pStyle w:val="a3"/>
        <w:numPr>
          <w:ilvl w:val="0"/>
          <w:numId w:val="7"/>
        </w:numPr>
        <w:tabs>
          <w:tab w:val="left" w:pos="284"/>
        </w:tabs>
        <w:spacing w:after="0" w:line="240" w:lineRule="auto"/>
        <w:jc w:val="both"/>
        <w:rPr>
          <w:rFonts w:cs="Times New Roman"/>
          <w:bCs/>
          <w:sz w:val="20"/>
          <w:szCs w:val="20"/>
        </w:rPr>
      </w:pPr>
      <w:r w:rsidRPr="00AE7DB5">
        <w:rPr>
          <w:rFonts w:cs="Times New Roman"/>
          <w:bCs/>
          <w:sz w:val="20"/>
          <w:szCs w:val="20"/>
        </w:rPr>
        <w:t xml:space="preserve">Алматы – </w:t>
      </w:r>
      <w:r w:rsidR="00852DE4">
        <w:rPr>
          <w:rFonts w:cs="Times New Roman"/>
          <w:bCs/>
          <w:sz w:val="20"/>
          <w:szCs w:val="20"/>
        </w:rPr>
        <w:t>360,1</w:t>
      </w:r>
      <w:r w:rsidRPr="00AE7DB5">
        <w:rPr>
          <w:rFonts w:cs="Times New Roman"/>
          <w:bCs/>
          <w:sz w:val="20"/>
          <w:szCs w:val="20"/>
        </w:rPr>
        <w:t xml:space="preserve"> тыс. тенге;</w:t>
      </w:r>
    </w:p>
    <w:p w:rsidR="004243F5" w:rsidRPr="00AE7DB5" w:rsidRDefault="00DD661D" w:rsidP="00DD661D">
      <w:pPr>
        <w:pStyle w:val="a3"/>
        <w:numPr>
          <w:ilvl w:val="0"/>
          <w:numId w:val="7"/>
        </w:numPr>
        <w:tabs>
          <w:tab w:val="left" w:pos="284"/>
        </w:tabs>
        <w:spacing w:after="0" w:line="240" w:lineRule="auto"/>
        <w:jc w:val="both"/>
        <w:rPr>
          <w:rFonts w:cs="Times New Roman"/>
          <w:bCs/>
          <w:sz w:val="20"/>
          <w:szCs w:val="20"/>
        </w:rPr>
      </w:pPr>
      <w:r w:rsidRPr="00AE7DB5">
        <w:rPr>
          <w:rFonts w:cs="Times New Roman"/>
          <w:bCs/>
          <w:sz w:val="20"/>
          <w:szCs w:val="20"/>
        </w:rPr>
        <w:t xml:space="preserve">Шымкент – </w:t>
      </w:r>
      <w:r w:rsidR="00852DE4">
        <w:rPr>
          <w:rFonts w:cs="Times New Roman"/>
          <w:bCs/>
          <w:sz w:val="20"/>
          <w:szCs w:val="20"/>
        </w:rPr>
        <w:t>336,4</w:t>
      </w:r>
      <w:r w:rsidRPr="00AE7DB5">
        <w:rPr>
          <w:rFonts w:cs="Times New Roman"/>
          <w:bCs/>
          <w:sz w:val="20"/>
          <w:szCs w:val="20"/>
        </w:rPr>
        <w:t xml:space="preserve"> тыс. тенге;</w:t>
      </w:r>
    </w:p>
    <w:p w:rsidR="00DD661D" w:rsidRPr="00AE7DB5" w:rsidRDefault="00DD661D" w:rsidP="00DD661D">
      <w:pPr>
        <w:pStyle w:val="a3"/>
        <w:numPr>
          <w:ilvl w:val="0"/>
          <w:numId w:val="7"/>
        </w:numPr>
        <w:tabs>
          <w:tab w:val="left" w:pos="284"/>
        </w:tabs>
        <w:spacing w:after="0" w:line="240" w:lineRule="auto"/>
        <w:jc w:val="both"/>
        <w:rPr>
          <w:rFonts w:cs="Times New Roman"/>
          <w:bCs/>
          <w:sz w:val="20"/>
          <w:szCs w:val="20"/>
        </w:rPr>
      </w:pPr>
      <w:r w:rsidRPr="00AE7DB5">
        <w:rPr>
          <w:rFonts w:cs="Times New Roman"/>
          <w:bCs/>
          <w:sz w:val="20"/>
          <w:szCs w:val="20"/>
        </w:rPr>
        <w:t xml:space="preserve">Атырау – </w:t>
      </w:r>
      <w:r w:rsidR="00852DE4">
        <w:rPr>
          <w:rFonts w:cs="Times New Roman"/>
          <w:bCs/>
          <w:sz w:val="20"/>
          <w:szCs w:val="20"/>
        </w:rPr>
        <w:t>326,1</w:t>
      </w:r>
      <w:r w:rsidRPr="00AE7DB5">
        <w:rPr>
          <w:rFonts w:cs="Times New Roman"/>
          <w:bCs/>
          <w:sz w:val="20"/>
          <w:szCs w:val="20"/>
        </w:rPr>
        <w:t xml:space="preserve"> тыс. тенге;</w:t>
      </w:r>
    </w:p>
    <w:p w:rsidR="00DD661D" w:rsidRPr="00AE7DB5" w:rsidRDefault="00852DE4" w:rsidP="00DD661D">
      <w:pPr>
        <w:pStyle w:val="a3"/>
        <w:numPr>
          <w:ilvl w:val="0"/>
          <w:numId w:val="7"/>
        </w:numPr>
        <w:tabs>
          <w:tab w:val="left" w:pos="284"/>
        </w:tabs>
        <w:spacing w:after="0" w:line="240" w:lineRule="auto"/>
        <w:jc w:val="both"/>
        <w:rPr>
          <w:rFonts w:cs="Times New Roman"/>
          <w:bCs/>
          <w:sz w:val="20"/>
          <w:szCs w:val="20"/>
        </w:rPr>
      </w:pPr>
      <w:r>
        <w:rPr>
          <w:rFonts w:cs="Times New Roman"/>
          <w:bCs/>
          <w:sz w:val="20"/>
          <w:szCs w:val="20"/>
        </w:rPr>
        <w:t>Караганда</w:t>
      </w:r>
      <w:r w:rsidR="00DD661D" w:rsidRPr="00AE7DB5">
        <w:rPr>
          <w:rFonts w:cs="Times New Roman"/>
          <w:bCs/>
          <w:sz w:val="20"/>
          <w:szCs w:val="20"/>
        </w:rPr>
        <w:t xml:space="preserve"> – </w:t>
      </w:r>
      <w:r>
        <w:rPr>
          <w:rFonts w:cs="Times New Roman"/>
          <w:bCs/>
          <w:sz w:val="20"/>
          <w:szCs w:val="20"/>
        </w:rPr>
        <w:t>246,9</w:t>
      </w:r>
      <w:r w:rsidR="00DD661D" w:rsidRPr="00AE7DB5">
        <w:rPr>
          <w:rFonts w:cs="Times New Roman"/>
          <w:bCs/>
          <w:sz w:val="20"/>
          <w:szCs w:val="20"/>
        </w:rPr>
        <w:t xml:space="preserve"> тыс. тенге.</w:t>
      </w:r>
    </w:p>
    <w:p w:rsidR="004243F5" w:rsidRPr="00E73314" w:rsidRDefault="004243F5" w:rsidP="004243F5">
      <w:pPr>
        <w:tabs>
          <w:tab w:val="left" w:pos="284"/>
        </w:tabs>
        <w:spacing w:after="0" w:line="240" w:lineRule="auto"/>
        <w:ind w:firstLine="709"/>
        <w:jc w:val="both"/>
        <w:rPr>
          <w:rFonts w:cs="Times New Roman"/>
          <w:bCs/>
          <w:sz w:val="20"/>
          <w:szCs w:val="20"/>
        </w:rPr>
      </w:pPr>
      <w:r w:rsidRPr="00E73314">
        <w:rPr>
          <w:rFonts w:cs="Times New Roman"/>
          <w:bCs/>
          <w:sz w:val="20"/>
          <w:szCs w:val="20"/>
        </w:rPr>
        <w:t>Пятёрка городов РК с низкими ценами за 1 кв. м. на новое жильё в декабре 20</w:t>
      </w:r>
      <w:r w:rsidR="00E73314" w:rsidRPr="00E73314">
        <w:rPr>
          <w:rFonts w:cs="Times New Roman"/>
          <w:bCs/>
          <w:sz w:val="20"/>
          <w:szCs w:val="20"/>
        </w:rPr>
        <w:t>20</w:t>
      </w:r>
      <w:r w:rsidRPr="00E73314">
        <w:rPr>
          <w:rFonts w:cs="Times New Roman"/>
          <w:bCs/>
          <w:sz w:val="20"/>
          <w:szCs w:val="20"/>
        </w:rPr>
        <w:t xml:space="preserve"> года:</w:t>
      </w:r>
    </w:p>
    <w:p w:rsidR="00977E7F" w:rsidRPr="00E73314" w:rsidRDefault="00977E7F" w:rsidP="00977E7F">
      <w:pPr>
        <w:pStyle w:val="a3"/>
        <w:numPr>
          <w:ilvl w:val="0"/>
          <w:numId w:val="9"/>
        </w:numPr>
        <w:tabs>
          <w:tab w:val="left" w:pos="284"/>
        </w:tabs>
        <w:spacing w:after="0" w:line="240" w:lineRule="auto"/>
        <w:jc w:val="both"/>
        <w:rPr>
          <w:rFonts w:cs="Times New Roman"/>
          <w:bCs/>
          <w:sz w:val="20"/>
          <w:szCs w:val="20"/>
        </w:rPr>
      </w:pPr>
      <w:r w:rsidRPr="00E73314">
        <w:rPr>
          <w:rFonts w:cs="Times New Roman"/>
          <w:bCs/>
          <w:sz w:val="20"/>
          <w:szCs w:val="20"/>
        </w:rPr>
        <w:t xml:space="preserve">Тараз – 140 тыс. тенге; </w:t>
      </w:r>
    </w:p>
    <w:p w:rsidR="00977E7F" w:rsidRPr="00E73314" w:rsidRDefault="00977E7F" w:rsidP="00977E7F">
      <w:pPr>
        <w:pStyle w:val="a3"/>
        <w:numPr>
          <w:ilvl w:val="0"/>
          <w:numId w:val="9"/>
        </w:numPr>
        <w:tabs>
          <w:tab w:val="left" w:pos="284"/>
        </w:tabs>
        <w:spacing w:after="0" w:line="240" w:lineRule="auto"/>
        <w:jc w:val="both"/>
        <w:rPr>
          <w:rFonts w:cs="Times New Roman"/>
          <w:bCs/>
          <w:sz w:val="20"/>
          <w:szCs w:val="20"/>
        </w:rPr>
      </w:pPr>
      <w:r w:rsidRPr="00E73314">
        <w:rPr>
          <w:rFonts w:cs="Times New Roman"/>
          <w:bCs/>
          <w:sz w:val="20"/>
          <w:szCs w:val="20"/>
        </w:rPr>
        <w:t>Петропавловск – 140 тыс. тенге;</w:t>
      </w:r>
    </w:p>
    <w:p w:rsidR="000476FD" w:rsidRPr="00E73314" w:rsidRDefault="000476FD" w:rsidP="00977E7F">
      <w:pPr>
        <w:pStyle w:val="a3"/>
        <w:numPr>
          <w:ilvl w:val="0"/>
          <w:numId w:val="9"/>
        </w:numPr>
        <w:tabs>
          <w:tab w:val="left" w:pos="284"/>
        </w:tabs>
        <w:spacing w:after="0" w:line="240" w:lineRule="auto"/>
        <w:jc w:val="both"/>
        <w:rPr>
          <w:rFonts w:cs="Times New Roman"/>
          <w:bCs/>
          <w:sz w:val="20"/>
          <w:szCs w:val="20"/>
        </w:rPr>
      </w:pPr>
      <w:r w:rsidRPr="00E73314">
        <w:rPr>
          <w:rFonts w:cs="Times New Roman"/>
          <w:bCs/>
          <w:sz w:val="20"/>
          <w:szCs w:val="20"/>
        </w:rPr>
        <w:t>Кызылорда – 141 тыс. тенге;</w:t>
      </w:r>
    </w:p>
    <w:p w:rsidR="00977E7F" w:rsidRPr="00E73314" w:rsidRDefault="00852DE4" w:rsidP="00977E7F">
      <w:pPr>
        <w:pStyle w:val="a3"/>
        <w:numPr>
          <w:ilvl w:val="0"/>
          <w:numId w:val="9"/>
        </w:numPr>
        <w:tabs>
          <w:tab w:val="left" w:pos="284"/>
        </w:tabs>
        <w:spacing w:after="0" w:line="240" w:lineRule="auto"/>
        <w:jc w:val="both"/>
        <w:rPr>
          <w:rFonts w:cs="Times New Roman"/>
          <w:bCs/>
          <w:sz w:val="20"/>
          <w:szCs w:val="20"/>
        </w:rPr>
      </w:pPr>
      <w:r w:rsidRPr="00E73314">
        <w:rPr>
          <w:rFonts w:cs="Times New Roman"/>
          <w:bCs/>
          <w:sz w:val="20"/>
          <w:szCs w:val="20"/>
        </w:rPr>
        <w:t>Талдыкорган</w:t>
      </w:r>
      <w:r w:rsidR="00977E7F" w:rsidRPr="00E73314">
        <w:rPr>
          <w:rFonts w:cs="Times New Roman"/>
          <w:bCs/>
          <w:sz w:val="20"/>
          <w:szCs w:val="20"/>
        </w:rPr>
        <w:t xml:space="preserve"> – </w:t>
      </w:r>
      <w:r w:rsidRPr="00E73314">
        <w:rPr>
          <w:rFonts w:cs="Times New Roman"/>
          <w:bCs/>
          <w:sz w:val="20"/>
          <w:szCs w:val="20"/>
        </w:rPr>
        <w:t>148,6</w:t>
      </w:r>
      <w:r w:rsidR="000476FD" w:rsidRPr="00E73314">
        <w:rPr>
          <w:rFonts w:cs="Times New Roman"/>
          <w:bCs/>
          <w:sz w:val="20"/>
          <w:szCs w:val="20"/>
        </w:rPr>
        <w:t xml:space="preserve"> </w:t>
      </w:r>
      <w:r w:rsidR="00977E7F" w:rsidRPr="00E73314">
        <w:rPr>
          <w:rFonts w:cs="Times New Roman"/>
          <w:bCs/>
          <w:sz w:val="20"/>
          <w:szCs w:val="20"/>
        </w:rPr>
        <w:t>тыс. тенге;</w:t>
      </w:r>
    </w:p>
    <w:p w:rsidR="00977E7F" w:rsidRDefault="00852DE4" w:rsidP="00977E7F">
      <w:pPr>
        <w:pStyle w:val="a3"/>
        <w:numPr>
          <w:ilvl w:val="0"/>
          <w:numId w:val="9"/>
        </w:numPr>
        <w:tabs>
          <w:tab w:val="left" w:pos="284"/>
        </w:tabs>
        <w:spacing w:after="0" w:line="240" w:lineRule="auto"/>
        <w:jc w:val="both"/>
        <w:rPr>
          <w:rFonts w:cs="Times New Roman"/>
          <w:bCs/>
          <w:sz w:val="20"/>
          <w:szCs w:val="20"/>
        </w:rPr>
      </w:pPr>
      <w:r w:rsidRPr="00E73314">
        <w:rPr>
          <w:rFonts w:cs="Times New Roman"/>
          <w:bCs/>
          <w:sz w:val="20"/>
          <w:szCs w:val="20"/>
        </w:rPr>
        <w:t>Актобе</w:t>
      </w:r>
      <w:r w:rsidR="00977E7F" w:rsidRPr="00E73314">
        <w:rPr>
          <w:rFonts w:cs="Times New Roman"/>
          <w:bCs/>
          <w:sz w:val="20"/>
          <w:szCs w:val="20"/>
        </w:rPr>
        <w:t xml:space="preserve"> – </w:t>
      </w:r>
      <w:r w:rsidRPr="00E73314">
        <w:rPr>
          <w:rFonts w:cs="Times New Roman"/>
          <w:bCs/>
          <w:sz w:val="20"/>
          <w:szCs w:val="20"/>
        </w:rPr>
        <w:t>184,7</w:t>
      </w:r>
      <w:r w:rsidR="00977E7F" w:rsidRPr="00E73314">
        <w:rPr>
          <w:rFonts w:cs="Times New Roman"/>
          <w:bCs/>
          <w:sz w:val="20"/>
          <w:szCs w:val="20"/>
        </w:rPr>
        <w:t xml:space="preserve"> тыс. тенге</w:t>
      </w:r>
      <w:r w:rsidR="000476FD" w:rsidRPr="00E73314">
        <w:rPr>
          <w:rFonts w:cs="Times New Roman"/>
          <w:bCs/>
          <w:sz w:val="20"/>
          <w:szCs w:val="20"/>
        </w:rPr>
        <w:t>.</w:t>
      </w:r>
    </w:p>
    <w:p w:rsidR="00E73314" w:rsidRDefault="00E73314" w:rsidP="00E73314">
      <w:pPr>
        <w:pStyle w:val="a3"/>
        <w:tabs>
          <w:tab w:val="left" w:pos="284"/>
        </w:tabs>
        <w:spacing w:after="0" w:line="240" w:lineRule="auto"/>
        <w:ind w:left="1429"/>
        <w:jc w:val="both"/>
        <w:rPr>
          <w:rFonts w:cs="Times New Roman"/>
          <w:bCs/>
          <w:sz w:val="20"/>
          <w:szCs w:val="20"/>
        </w:rPr>
      </w:pPr>
    </w:p>
    <w:p w:rsidR="00E73314" w:rsidRDefault="00E73314" w:rsidP="00E73314">
      <w:pPr>
        <w:pStyle w:val="a3"/>
        <w:tabs>
          <w:tab w:val="left" w:pos="284"/>
        </w:tabs>
        <w:spacing w:after="0" w:line="240" w:lineRule="auto"/>
        <w:ind w:left="0"/>
        <w:jc w:val="both"/>
        <w:rPr>
          <w:rFonts w:cs="Times New Roman"/>
          <w:bCs/>
          <w:sz w:val="20"/>
          <w:szCs w:val="20"/>
        </w:rPr>
      </w:pPr>
      <w:r>
        <w:rPr>
          <w:noProof/>
          <w:lang w:eastAsia="ru-RU"/>
        </w:rPr>
        <w:drawing>
          <wp:inline distT="0" distB="0" distL="0" distR="0" wp14:anchorId="7885B29A" wp14:editId="3218AB21">
            <wp:extent cx="6219825" cy="3000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33BE" w:rsidRDefault="00881969" w:rsidP="00C50199">
      <w:pPr>
        <w:tabs>
          <w:tab w:val="left" w:pos="284"/>
        </w:tabs>
        <w:spacing w:after="0" w:line="240" w:lineRule="auto"/>
        <w:jc w:val="both"/>
        <w:rPr>
          <w:rFonts w:cs="Times New Roman"/>
          <w:i/>
          <w:sz w:val="20"/>
          <w:szCs w:val="20"/>
        </w:rPr>
      </w:pPr>
      <w:r w:rsidRPr="00AE7DB5">
        <w:rPr>
          <w:rFonts w:cs="Times New Roman"/>
          <w:i/>
          <w:sz w:val="20"/>
          <w:szCs w:val="20"/>
        </w:rPr>
        <w:t xml:space="preserve">Источник: </w:t>
      </w:r>
      <w:r w:rsidR="003E68D8" w:rsidRPr="00AE7DB5">
        <w:rPr>
          <w:rFonts w:cs="Times New Roman"/>
          <w:i/>
          <w:sz w:val="20"/>
          <w:szCs w:val="20"/>
        </w:rPr>
        <w:t>Комитет по статистике МНЭ РК</w:t>
      </w:r>
    </w:p>
    <w:p w:rsidR="008615C4" w:rsidRDefault="008615C4" w:rsidP="00C50199">
      <w:pPr>
        <w:tabs>
          <w:tab w:val="left" w:pos="284"/>
        </w:tabs>
        <w:spacing w:after="0" w:line="240" w:lineRule="auto"/>
        <w:jc w:val="both"/>
        <w:rPr>
          <w:rFonts w:cs="Times New Roman"/>
          <w:i/>
          <w:sz w:val="20"/>
          <w:szCs w:val="20"/>
        </w:rPr>
      </w:pPr>
    </w:p>
    <w:p w:rsidR="008615C4" w:rsidRDefault="008615C4" w:rsidP="00C50199">
      <w:pPr>
        <w:tabs>
          <w:tab w:val="left" w:pos="284"/>
        </w:tabs>
        <w:spacing w:after="0" w:line="240" w:lineRule="auto"/>
        <w:jc w:val="both"/>
        <w:rPr>
          <w:rFonts w:cs="Times New Roman"/>
          <w:i/>
          <w:sz w:val="20"/>
          <w:szCs w:val="20"/>
        </w:rPr>
      </w:pPr>
      <w:r>
        <w:rPr>
          <w:noProof/>
          <w:lang w:eastAsia="ru-RU"/>
        </w:rPr>
        <w:drawing>
          <wp:inline distT="0" distB="0" distL="0" distR="0" wp14:anchorId="29BF5A50" wp14:editId="02D2E0D6">
            <wp:extent cx="6238875" cy="25812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0199" w:rsidRPr="00AE7DB5" w:rsidRDefault="00E82CFA" w:rsidP="005A37F7">
      <w:pPr>
        <w:tabs>
          <w:tab w:val="left" w:pos="426"/>
          <w:tab w:val="left" w:pos="567"/>
        </w:tabs>
        <w:spacing w:line="240" w:lineRule="auto"/>
        <w:rPr>
          <w:rFonts w:cs="Times New Roman"/>
          <w:b/>
          <w:sz w:val="20"/>
          <w:szCs w:val="20"/>
        </w:rPr>
      </w:pPr>
      <w:r>
        <w:rPr>
          <w:rFonts w:cs="Times New Roman"/>
          <w:i/>
          <w:sz w:val="20"/>
          <w:szCs w:val="20"/>
        </w:rPr>
        <w:tab/>
      </w:r>
      <w:r w:rsidR="00C50199" w:rsidRPr="00AE7DB5">
        <w:rPr>
          <w:rFonts w:cs="Times New Roman"/>
          <w:i/>
          <w:sz w:val="20"/>
          <w:szCs w:val="20"/>
        </w:rPr>
        <w:t xml:space="preserve">Источник: </w:t>
      </w:r>
      <w:r w:rsidR="003E68D8" w:rsidRPr="00AE7DB5">
        <w:rPr>
          <w:rFonts w:cs="Times New Roman"/>
          <w:i/>
          <w:sz w:val="20"/>
          <w:szCs w:val="20"/>
        </w:rPr>
        <w:t>Комитет по статистике МНЭ РК</w:t>
      </w:r>
    </w:p>
    <w:p w:rsidR="005D723D" w:rsidRPr="00AE7DB5" w:rsidRDefault="00C50199" w:rsidP="00F409F3">
      <w:pPr>
        <w:tabs>
          <w:tab w:val="left" w:pos="284"/>
        </w:tabs>
        <w:spacing w:after="0" w:line="240" w:lineRule="auto"/>
        <w:ind w:firstLine="709"/>
        <w:jc w:val="both"/>
        <w:rPr>
          <w:rFonts w:cs="Times New Roman"/>
          <w:i/>
          <w:sz w:val="20"/>
          <w:szCs w:val="20"/>
        </w:rPr>
      </w:pPr>
      <w:r w:rsidRPr="00AE7DB5">
        <w:rPr>
          <w:rFonts w:cs="Times New Roman"/>
          <w:bCs/>
          <w:sz w:val="20"/>
          <w:szCs w:val="20"/>
        </w:rPr>
        <w:t xml:space="preserve">Средняя цена аренды благоустроенного жилья </w:t>
      </w:r>
      <w:r w:rsidR="00EF69B7" w:rsidRPr="00AE7DB5">
        <w:rPr>
          <w:rFonts w:cs="Times New Roman"/>
          <w:bCs/>
          <w:sz w:val="20"/>
          <w:szCs w:val="20"/>
        </w:rPr>
        <w:t>по РК за декабрь 20</w:t>
      </w:r>
      <w:r w:rsidR="00E82CFA">
        <w:rPr>
          <w:rFonts w:cs="Times New Roman"/>
          <w:bCs/>
          <w:sz w:val="20"/>
          <w:szCs w:val="20"/>
        </w:rPr>
        <w:t>20</w:t>
      </w:r>
      <w:r w:rsidR="00EF69B7" w:rsidRPr="00AE7DB5">
        <w:rPr>
          <w:rFonts w:cs="Times New Roman"/>
          <w:bCs/>
          <w:sz w:val="20"/>
          <w:szCs w:val="20"/>
        </w:rPr>
        <w:t xml:space="preserve"> года</w:t>
      </w:r>
      <w:r w:rsidRPr="00AE7DB5">
        <w:rPr>
          <w:rFonts w:cs="Times New Roman"/>
          <w:bCs/>
          <w:sz w:val="20"/>
          <w:szCs w:val="20"/>
        </w:rPr>
        <w:t xml:space="preserve"> составила </w:t>
      </w:r>
      <w:r w:rsidR="00EF69B7" w:rsidRPr="00AE7DB5">
        <w:rPr>
          <w:rFonts w:cs="Times New Roman"/>
          <w:bCs/>
          <w:sz w:val="20"/>
          <w:szCs w:val="20"/>
        </w:rPr>
        <w:t xml:space="preserve">1 </w:t>
      </w:r>
      <w:r w:rsidR="00E82CFA">
        <w:rPr>
          <w:rFonts w:cs="Times New Roman"/>
          <w:bCs/>
          <w:sz w:val="20"/>
          <w:szCs w:val="20"/>
        </w:rPr>
        <w:t xml:space="preserve">639 тенге за 1 кв. </w:t>
      </w:r>
      <w:r w:rsidRPr="00AE7DB5">
        <w:rPr>
          <w:rFonts w:cs="Times New Roman"/>
          <w:bCs/>
          <w:sz w:val="20"/>
          <w:szCs w:val="20"/>
        </w:rPr>
        <w:t xml:space="preserve">м., рост к </w:t>
      </w:r>
      <w:r w:rsidR="00805455" w:rsidRPr="00AE7DB5">
        <w:rPr>
          <w:rFonts w:cs="Times New Roman"/>
          <w:bCs/>
          <w:sz w:val="20"/>
          <w:szCs w:val="20"/>
        </w:rPr>
        <w:t xml:space="preserve">декабрю предыдущего года составил </w:t>
      </w:r>
      <w:r w:rsidR="00E82CFA">
        <w:rPr>
          <w:rFonts w:cs="Times New Roman"/>
          <w:bCs/>
          <w:sz w:val="20"/>
          <w:szCs w:val="20"/>
        </w:rPr>
        <w:t>9</w:t>
      </w:r>
      <w:r w:rsidRPr="00AE7DB5">
        <w:rPr>
          <w:rFonts w:cs="Times New Roman"/>
          <w:sz w:val="20"/>
          <w:szCs w:val="20"/>
        </w:rPr>
        <w:t>%.</w:t>
      </w:r>
    </w:p>
    <w:p w:rsidR="00C50199" w:rsidRDefault="00EF69B7" w:rsidP="00CB3554">
      <w:pPr>
        <w:tabs>
          <w:tab w:val="left" w:pos="284"/>
        </w:tabs>
        <w:spacing w:after="0" w:line="240" w:lineRule="auto"/>
        <w:ind w:firstLine="709"/>
        <w:jc w:val="both"/>
        <w:rPr>
          <w:rFonts w:cs="Times New Roman"/>
          <w:bCs/>
          <w:sz w:val="20"/>
          <w:szCs w:val="20"/>
        </w:rPr>
      </w:pPr>
      <w:r w:rsidRPr="00AE7DB5">
        <w:rPr>
          <w:rFonts w:cs="Times New Roman"/>
          <w:bCs/>
          <w:sz w:val="20"/>
          <w:szCs w:val="20"/>
        </w:rPr>
        <w:t>За декабрь 20</w:t>
      </w:r>
      <w:r w:rsidR="00E82CFA">
        <w:rPr>
          <w:rFonts w:cs="Times New Roman"/>
          <w:bCs/>
          <w:sz w:val="20"/>
          <w:szCs w:val="20"/>
        </w:rPr>
        <w:t>20</w:t>
      </w:r>
      <w:r w:rsidRPr="00AE7DB5">
        <w:rPr>
          <w:rFonts w:cs="Times New Roman"/>
          <w:bCs/>
          <w:sz w:val="20"/>
          <w:szCs w:val="20"/>
        </w:rPr>
        <w:t xml:space="preserve"> года</w:t>
      </w:r>
      <w:r w:rsidR="00C50199" w:rsidRPr="00AE7DB5">
        <w:rPr>
          <w:rFonts w:cs="Times New Roman"/>
          <w:bCs/>
          <w:sz w:val="20"/>
          <w:szCs w:val="20"/>
        </w:rPr>
        <w:t xml:space="preserve"> наиболее высокая цена аренды зафиксирована в г. </w:t>
      </w:r>
      <w:r w:rsidR="00E95345" w:rsidRPr="00AE7DB5">
        <w:rPr>
          <w:rFonts w:cs="Times New Roman"/>
          <w:bCs/>
          <w:sz w:val="20"/>
          <w:szCs w:val="20"/>
        </w:rPr>
        <w:t xml:space="preserve">Нур-Султан </w:t>
      </w:r>
      <w:r w:rsidR="00C50199" w:rsidRPr="00AE7DB5">
        <w:rPr>
          <w:rFonts w:cs="Times New Roman"/>
          <w:bCs/>
          <w:sz w:val="20"/>
          <w:szCs w:val="20"/>
        </w:rPr>
        <w:t>(</w:t>
      </w:r>
      <w:r w:rsidRPr="00AE7DB5">
        <w:rPr>
          <w:rFonts w:cs="Times New Roman"/>
          <w:bCs/>
          <w:sz w:val="20"/>
          <w:szCs w:val="20"/>
        </w:rPr>
        <w:t xml:space="preserve">2 </w:t>
      </w:r>
      <w:r w:rsidR="00E82CFA">
        <w:rPr>
          <w:rFonts w:cs="Times New Roman"/>
          <w:bCs/>
          <w:sz w:val="20"/>
          <w:szCs w:val="20"/>
        </w:rPr>
        <w:t>919</w:t>
      </w:r>
      <w:r w:rsidR="00C50199" w:rsidRPr="00AE7DB5">
        <w:rPr>
          <w:rFonts w:cs="Times New Roman"/>
          <w:bCs/>
          <w:sz w:val="20"/>
          <w:szCs w:val="20"/>
        </w:rPr>
        <w:t>тенге за 1 кв. м.), г. Алматы (</w:t>
      </w:r>
      <w:r w:rsidRPr="00AE7DB5">
        <w:rPr>
          <w:rFonts w:cs="Times New Roman"/>
          <w:bCs/>
          <w:sz w:val="20"/>
          <w:szCs w:val="20"/>
        </w:rPr>
        <w:t>2</w:t>
      </w:r>
      <w:r w:rsidR="00E82CFA">
        <w:rPr>
          <w:rFonts w:cs="Times New Roman"/>
          <w:bCs/>
          <w:sz w:val="20"/>
          <w:szCs w:val="20"/>
        </w:rPr>
        <w:t xml:space="preserve"> </w:t>
      </w:r>
      <w:r w:rsidR="0029593A" w:rsidRPr="00AE7DB5">
        <w:rPr>
          <w:rFonts w:cs="Times New Roman"/>
          <w:bCs/>
          <w:sz w:val="20"/>
          <w:szCs w:val="20"/>
        </w:rPr>
        <w:t>3</w:t>
      </w:r>
      <w:r w:rsidR="00E82CFA">
        <w:rPr>
          <w:rFonts w:cs="Times New Roman"/>
          <w:bCs/>
          <w:sz w:val="20"/>
          <w:szCs w:val="20"/>
        </w:rPr>
        <w:t>44</w:t>
      </w:r>
      <w:r w:rsidRPr="00AE7DB5">
        <w:rPr>
          <w:rFonts w:cs="Times New Roman"/>
          <w:bCs/>
          <w:sz w:val="20"/>
          <w:szCs w:val="20"/>
        </w:rPr>
        <w:t xml:space="preserve"> </w:t>
      </w:r>
      <w:r w:rsidR="00C50199" w:rsidRPr="00AE7DB5">
        <w:rPr>
          <w:rFonts w:cs="Times New Roman"/>
          <w:bCs/>
          <w:sz w:val="20"/>
          <w:szCs w:val="20"/>
        </w:rPr>
        <w:t>тенге за 1 кв. м.), г. Актау (</w:t>
      </w:r>
      <w:r w:rsidRPr="00AE7DB5">
        <w:rPr>
          <w:rFonts w:cs="Times New Roman"/>
          <w:bCs/>
          <w:sz w:val="20"/>
          <w:szCs w:val="20"/>
        </w:rPr>
        <w:t>2</w:t>
      </w:r>
      <w:r w:rsidR="00E82CFA">
        <w:rPr>
          <w:rFonts w:cs="Times New Roman"/>
          <w:bCs/>
          <w:sz w:val="20"/>
          <w:szCs w:val="20"/>
        </w:rPr>
        <w:t xml:space="preserve"> </w:t>
      </w:r>
      <w:r w:rsidRPr="00AE7DB5">
        <w:rPr>
          <w:rFonts w:cs="Times New Roman"/>
          <w:bCs/>
          <w:sz w:val="20"/>
          <w:szCs w:val="20"/>
        </w:rPr>
        <w:t xml:space="preserve">047 </w:t>
      </w:r>
      <w:r w:rsidR="00C50199" w:rsidRPr="00AE7DB5">
        <w:rPr>
          <w:rFonts w:cs="Times New Roman"/>
          <w:bCs/>
          <w:sz w:val="20"/>
          <w:szCs w:val="20"/>
        </w:rPr>
        <w:t xml:space="preserve">тенге за 1 кв. м.), </w:t>
      </w:r>
      <w:r w:rsidR="0029593A" w:rsidRPr="00AE7DB5">
        <w:rPr>
          <w:rFonts w:cs="Times New Roman"/>
          <w:bCs/>
          <w:sz w:val="20"/>
          <w:szCs w:val="20"/>
        </w:rPr>
        <w:t>г. Туркестан (</w:t>
      </w:r>
      <w:r w:rsidR="00E82CFA">
        <w:rPr>
          <w:rFonts w:cs="Times New Roman"/>
          <w:bCs/>
          <w:sz w:val="20"/>
          <w:szCs w:val="20"/>
        </w:rPr>
        <w:t>2 000</w:t>
      </w:r>
      <w:r w:rsidR="0029593A" w:rsidRPr="00AE7DB5">
        <w:rPr>
          <w:rFonts w:cs="Times New Roman"/>
          <w:bCs/>
          <w:sz w:val="20"/>
          <w:szCs w:val="20"/>
        </w:rPr>
        <w:t xml:space="preserve"> тенге за 1 кв. м.)</w:t>
      </w:r>
      <w:r w:rsidR="00212C07" w:rsidRPr="00AE7DB5">
        <w:rPr>
          <w:rFonts w:cs="Times New Roman"/>
          <w:bCs/>
          <w:sz w:val="20"/>
          <w:szCs w:val="20"/>
        </w:rPr>
        <w:t xml:space="preserve"> </w:t>
      </w:r>
      <w:r w:rsidR="00C50199" w:rsidRPr="00AE7DB5">
        <w:rPr>
          <w:rFonts w:cs="Times New Roman"/>
          <w:bCs/>
          <w:sz w:val="20"/>
          <w:szCs w:val="20"/>
        </w:rPr>
        <w:t>г. Атырау (</w:t>
      </w:r>
      <w:r w:rsidR="00E82CFA">
        <w:rPr>
          <w:rFonts w:cs="Times New Roman"/>
          <w:bCs/>
          <w:sz w:val="20"/>
          <w:szCs w:val="20"/>
        </w:rPr>
        <w:t>1</w:t>
      </w:r>
      <w:r w:rsidRPr="00AE7DB5">
        <w:rPr>
          <w:rFonts w:cs="Times New Roman"/>
          <w:bCs/>
          <w:sz w:val="20"/>
          <w:szCs w:val="20"/>
        </w:rPr>
        <w:t>7</w:t>
      </w:r>
      <w:r w:rsidR="00E82CFA">
        <w:rPr>
          <w:rFonts w:cs="Times New Roman"/>
          <w:bCs/>
          <w:sz w:val="20"/>
          <w:szCs w:val="20"/>
        </w:rPr>
        <w:t>66</w:t>
      </w:r>
      <w:r w:rsidR="00C50199" w:rsidRPr="00AE7DB5">
        <w:rPr>
          <w:rFonts w:cs="Times New Roman"/>
          <w:bCs/>
          <w:sz w:val="20"/>
          <w:szCs w:val="20"/>
        </w:rPr>
        <w:t xml:space="preserve"> тенге за 1 кв. м.), г. Караганда (</w:t>
      </w:r>
      <w:r w:rsidR="00E82CFA">
        <w:rPr>
          <w:rFonts w:cs="Times New Roman"/>
          <w:bCs/>
          <w:sz w:val="20"/>
          <w:szCs w:val="20"/>
        </w:rPr>
        <w:t xml:space="preserve">1 773 </w:t>
      </w:r>
      <w:r w:rsidR="00C50199" w:rsidRPr="00AE7DB5">
        <w:rPr>
          <w:rFonts w:cs="Times New Roman"/>
          <w:bCs/>
          <w:sz w:val="20"/>
          <w:szCs w:val="20"/>
        </w:rPr>
        <w:t>тенге за 1 кв. м.).</w:t>
      </w:r>
      <w:r w:rsidR="00E82CFA" w:rsidRPr="00E82CFA">
        <w:rPr>
          <w:rFonts w:cs="Times New Roman"/>
          <w:bCs/>
          <w:sz w:val="20"/>
          <w:szCs w:val="20"/>
        </w:rPr>
        <w:t xml:space="preserve"> </w:t>
      </w:r>
      <w:r w:rsidR="00E82CFA" w:rsidRPr="00AE7DB5">
        <w:rPr>
          <w:rFonts w:cs="Times New Roman"/>
          <w:bCs/>
          <w:sz w:val="20"/>
          <w:szCs w:val="20"/>
        </w:rPr>
        <w:t xml:space="preserve">г. </w:t>
      </w:r>
      <w:r w:rsidR="00E82CFA">
        <w:rPr>
          <w:rFonts w:cs="Times New Roman"/>
          <w:bCs/>
          <w:sz w:val="20"/>
          <w:szCs w:val="20"/>
        </w:rPr>
        <w:t>Талдыкорган</w:t>
      </w:r>
      <w:r w:rsidR="00E82CFA" w:rsidRPr="00AE7DB5">
        <w:rPr>
          <w:rFonts w:cs="Times New Roman"/>
          <w:bCs/>
          <w:sz w:val="20"/>
          <w:szCs w:val="20"/>
        </w:rPr>
        <w:t xml:space="preserve"> (</w:t>
      </w:r>
      <w:r w:rsidR="00E82CFA">
        <w:rPr>
          <w:rFonts w:cs="Times New Roman"/>
          <w:bCs/>
          <w:sz w:val="20"/>
          <w:szCs w:val="20"/>
        </w:rPr>
        <w:t xml:space="preserve">1 783 </w:t>
      </w:r>
      <w:r w:rsidR="00E82CFA" w:rsidRPr="00AE7DB5">
        <w:rPr>
          <w:rFonts w:cs="Times New Roman"/>
          <w:bCs/>
          <w:sz w:val="20"/>
          <w:szCs w:val="20"/>
        </w:rPr>
        <w:t>тенге за 1 кв. м.)</w:t>
      </w:r>
      <w:r w:rsidR="00E82CFA">
        <w:rPr>
          <w:rFonts w:cs="Times New Roman"/>
          <w:bCs/>
          <w:sz w:val="20"/>
          <w:szCs w:val="20"/>
        </w:rPr>
        <w:t xml:space="preserve">, Павлодар </w:t>
      </w:r>
      <w:r w:rsidR="00E82CFA" w:rsidRPr="00AE7DB5">
        <w:rPr>
          <w:rFonts w:cs="Times New Roman"/>
          <w:bCs/>
          <w:sz w:val="20"/>
          <w:szCs w:val="20"/>
        </w:rPr>
        <w:t>(</w:t>
      </w:r>
      <w:r w:rsidR="00E82CFA">
        <w:rPr>
          <w:rFonts w:cs="Times New Roman"/>
          <w:bCs/>
          <w:sz w:val="20"/>
          <w:szCs w:val="20"/>
        </w:rPr>
        <w:t xml:space="preserve">1 730 </w:t>
      </w:r>
      <w:r w:rsidR="00E82CFA" w:rsidRPr="00AE7DB5">
        <w:rPr>
          <w:rFonts w:cs="Times New Roman"/>
          <w:bCs/>
          <w:sz w:val="20"/>
          <w:szCs w:val="20"/>
        </w:rPr>
        <w:t>тенге за 1 кв. м.)</w:t>
      </w:r>
      <w:r w:rsidR="00E82CFA">
        <w:rPr>
          <w:rFonts w:cs="Times New Roman"/>
          <w:bCs/>
          <w:sz w:val="20"/>
          <w:szCs w:val="20"/>
        </w:rPr>
        <w:t xml:space="preserve">. </w:t>
      </w:r>
      <w:r w:rsidR="00C50199" w:rsidRPr="00AE7DB5">
        <w:rPr>
          <w:rFonts w:cs="Times New Roman"/>
          <w:bCs/>
          <w:sz w:val="20"/>
          <w:szCs w:val="20"/>
        </w:rPr>
        <w:t xml:space="preserve">В остальных крупных городах данный показатель ниже среднего значения по стране. </w:t>
      </w:r>
    </w:p>
    <w:p w:rsidR="00D80E4C" w:rsidRDefault="00D80E4C" w:rsidP="00CB3554">
      <w:pPr>
        <w:tabs>
          <w:tab w:val="left" w:pos="284"/>
        </w:tabs>
        <w:spacing w:after="0" w:line="240" w:lineRule="auto"/>
        <w:ind w:firstLine="709"/>
        <w:jc w:val="both"/>
        <w:rPr>
          <w:rFonts w:cs="Times New Roman"/>
          <w:bCs/>
          <w:sz w:val="20"/>
          <w:szCs w:val="20"/>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165"/>
        <w:gridCol w:w="3167"/>
      </w:tblGrid>
      <w:tr w:rsidR="00D80E4C" w:rsidRPr="00D651D6" w:rsidTr="00E82CFA">
        <w:trPr>
          <w:trHeight w:val="131"/>
        </w:trPr>
        <w:tc>
          <w:tcPr>
            <w:tcW w:w="3555" w:type="dxa"/>
            <w:shd w:val="clear" w:color="auto" w:fill="auto"/>
            <w:noWrap/>
            <w:vAlign w:val="center"/>
            <w:hideMark/>
          </w:tcPr>
          <w:p w:rsidR="00D80E4C" w:rsidRPr="00D651D6" w:rsidRDefault="00D80E4C" w:rsidP="00D80E4C">
            <w:pPr>
              <w:spacing w:after="0" w:line="240" w:lineRule="auto"/>
              <w:jc w:val="center"/>
              <w:rPr>
                <w:rFonts w:eastAsia="Times New Roman" w:cstheme="minorHAnsi"/>
                <w:sz w:val="20"/>
                <w:szCs w:val="20"/>
                <w:lang w:eastAsia="ru-RU"/>
              </w:rPr>
            </w:pPr>
            <w:r w:rsidRPr="00D651D6">
              <w:rPr>
                <w:rFonts w:eastAsia="Times New Roman" w:cstheme="minorHAnsi"/>
                <w:sz w:val="20"/>
                <w:szCs w:val="20"/>
                <w:lang w:eastAsia="ru-RU"/>
              </w:rPr>
              <w:t> </w:t>
            </w:r>
          </w:p>
        </w:tc>
        <w:tc>
          <w:tcPr>
            <w:tcW w:w="3165" w:type="dxa"/>
            <w:shd w:val="clear" w:color="auto" w:fill="auto"/>
            <w:vAlign w:val="center"/>
            <w:hideMark/>
          </w:tcPr>
          <w:p w:rsidR="00D80E4C" w:rsidRPr="00D651D6" w:rsidRDefault="00E82CFA" w:rsidP="00E82CFA">
            <w:pPr>
              <w:spacing w:after="0" w:line="240" w:lineRule="auto"/>
              <w:jc w:val="center"/>
              <w:rPr>
                <w:rFonts w:eastAsia="Times New Roman" w:cstheme="minorHAnsi"/>
                <w:sz w:val="20"/>
                <w:szCs w:val="20"/>
                <w:lang w:eastAsia="ru-RU"/>
              </w:rPr>
            </w:pPr>
            <w:r w:rsidRPr="00D651D6">
              <w:rPr>
                <w:rFonts w:eastAsia="Times New Roman" w:cstheme="minorHAnsi"/>
                <w:sz w:val="20"/>
                <w:szCs w:val="20"/>
                <w:lang w:eastAsia="ru-RU"/>
              </w:rPr>
              <w:t>Декабрь</w:t>
            </w:r>
            <w:r w:rsidR="00D80E4C" w:rsidRPr="00D651D6">
              <w:rPr>
                <w:rFonts w:eastAsia="Times New Roman" w:cstheme="minorHAnsi"/>
                <w:sz w:val="20"/>
                <w:szCs w:val="20"/>
                <w:lang w:eastAsia="ru-RU"/>
              </w:rPr>
              <w:t xml:space="preserve"> </w:t>
            </w:r>
            <w:bookmarkStart w:id="0" w:name="_GoBack"/>
            <w:r w:rsidR="00D80E4C" w:rsidRPr="00D651D6">
              <w:rPr>
                <w:rFonts w:eastAsia="Times New Roman" w:cstheme="minorHAnsi"/>
                <w:sz w:val="20"/>
                <w:szCs w:val="20"/>
                <w:lang w:eastAsia="ru-RU"/>
              </w:rPr>
              <w:t>20</w:t>
            </w:r>
            <w:r w:rsidRPr="00D651D6">
              <w:rPr>
                <w:rFonts w:eastAsia="Times New Roman" w:cstheme="minorHAnsi"/>
                <w:sz w:val="20"/>
                <w:szCs w:val="20"/>
                <w:lang w:eastAsia="ru-RU"/>
              </w:rPr>
              <w:t>19</w:t>
            </w:r>
            <w:bookmarkEnd w:id="0"/>
            <w:r w:rsidR="00D80E4C" w:rsidRPr="00D651D6">
              <w:rPr>
                <w:rFonts w:eastAsia="Times New Roman" w:cstheme="minorHAnsi"/>
                <w:sz w:val="20"/>
                <w:szCs w:val="20"/>
                <w:lang w:eastAsia="ru-RU"/>
              </w:rPr>
              <w:t>г.</w:t>
            </w:r>
          </w:p>
        </w:tc>
        <w:tc>
          <w:tcPr>
            <w:tcW w:w="3167" w:type="dxa"/>
            <w:shd w:val="clear" w:color="auto" w:fill="auto"/>
            <w:vAlign w:val="center"/>
            <w:hideMark/>
          </w:tcPr>
          <w:p w:rsidR="00D80E4C" w:rsidRPr="00D651D6" w:rsidRDefault="00D80E4C" w:rsidP="00D80E4C">
            <w:pPr>
              <w:spacing w:after="0" w:line="240" w:lineRule="auto"/>
              <w:jc w:val="center"/>
              <w:rPr>
                <w:rFonts w:eastAsia="Times New Roman" w:cstheme="minorHAnsi"/>
                <w:sz w:val="20"/>
                <w:szCs w:val="20"/>
                <w:lang w:eastAsia="ru-RU"/>
              </w:rPr>
            </w:pPr>
            <w:r w:rsidRPr="00D651D6">
              <w:rPr>
                <w:rFonts w:eastAsia="Times New Roman" w:cstheme="minorHAnsi"/>
                <w:sz w:val="20"/>
                <w:szCs w:val="20"/>
                <w:lang w:eastAsia="ru-RU"/>
              </w:rPr>
              <w:t>Декабрь 2020г.</w:t>
            </w:r>
          </w:p>
        </w:tc>
      </w:tr>
      <w:tr w:rsidR="00D80E4C" w:rsidRPr="00D651D6" w:rsidTr="00E82CFA">
        <w:trPr>
          <w:trHeight w:val="225"/>
        </w:trPr>
        <w:tc>
          <w:tcPr>
            <w:tcW w:w="9887" w:type="dxa"/>
            <w:gridSpan w:val="3"/>
            <w:shd w:val="clear" w:color="auto" w:fill="auto"/>
            <w:vAlign w:val="center"/>
            <w:hideMark/>
          </w:tcPr>
          <w:p w:rsidR="00D80E4C" w:rsidRPr="00D651D6" w:rsidRDefault="00D80E4C" w:rsidP="00D80E4C">
            <w:pPr>
              <w:spacing w:after="0" w:line="240" w:lineRule="auto"/>
              <w:jc w:val="center"/>
              <w:rPr>
                <w:rFonts w:eastAsia="Times New Roman" w:cstheme="minorHAnsi"/>
                <w:b/>
                <w:bCs/>
                <w:sz w:val="20"/>
                <w:szCs w:val="20"/>
                <w:lang w:eastAsia="ru-RU"/>
              </w:rPr>
            </w:pPr>
            <w:r w:rsidRPr="00D651D6">
              <w:rPr>
                <w:rFonts w:eastAsia="Times New Roman" w:cstheme="minorHAnsi"/>
                <w:b/>
                <w:bCs/>
                <w:sz w:val="20"/>
                <w:szCs w:val="20"/>
                <w:lang w:eastAsia="ru-RU"/>
              </w:rPr>
              <w:t>Арендная плата за благоустроенное жилье</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b/>
                <w:bCs/>
                <w:sz w:val="20"/>
                <w:szCs w:val="20"/>
                <w:lang w:eastAsia="ru-RU"/>
              </w:rPr>
            </w:pPr>
            <w:r w:rsidRPr="00D651D6">
              <w:rPr>
                <w:rFonts w:eastAsia="Times New Roman" w:cstheme="minorHAnsi"/>
                <w:b/>
                <w:bCs/>
                <w:sz w:val="20"/>
                <w:szCs w:val="20"/>
                <w:lang w:eastAsia="ru-RU"/>
              </w:rPr>
              <w:t>Қазақстан Республикасы</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1 500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1 639</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Нұр-Сұлтан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2 821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2 919</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Алматы</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2 332</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2 344</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Шымкент</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1 465</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1 632</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Ақтау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2 047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2 047</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Ақтөбе</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1 350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1 457</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Атырау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1 759</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1 766</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Көкшетау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1 377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1 419</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Қарағанды</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1 586</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1 773</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Қостанай</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1 395</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1 451</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Қызылорда</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1 220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1 293</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Орал</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1 110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1 257</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Өскемен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1 377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1 470</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Павлодар</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1 421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1 730</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Петропавл</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1 331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1 422</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Семей</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1 168</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1 245</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Талдықорған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1 264</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1 783</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Тараз</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1 104</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1 298</w:t>
            </w:r>
          </w:p>
        </w:tc>
      </w:tr>
      <w:tr w:rsidR="00E82CFA" w:rsidRPr="00D651D6" w:rsidTr="00E82CFA">
        <w:trPr>
          <w:trHeight w:val="258"/>
        </w:trPr>
        <w:tc>
          <w:tcPr>
            <w:tcW w:w="3555" w:type="dxa"/>
            <w:shd w:val="clear" w:color="auto" w:fill="auto"/>
            <w:noWrap/>
            <w:vAlign w:val="bottom"/>
            <w:hideMark/>
          </w:tcPr>
          <w:p w:rsidR="00E82CFA" w:rsidRPr="00D651D6" w:rsidRDefault="00E82CFA" w:rsidP="00E82CFA">
            <w:pPr>
              <w:spacing w:after="0" w:line="240" w:lineRule="auto"/>
              <w:rPr>
                <w:rFonts w:eastAsia="Times New Roman" w:cstheme="minorHAnsi"/>
                <w:sz w:val="20"/>
                <w:szCs w:val="20"/>
                <w:lang w:eastAsia="ru-RU"/>
              </w:rPr>
            </w:pPr>
            <w:r w:rsidRPr="00D651D6">
              <w:rPr>
                <w:rFonts w:eastAsia="Times New Roman" w:cstheme="minorHAnsi"/>
                <w:sz w:val="20"/>
                <w:szCs w:val="20"/>
                <w:lang w:eastAsia="ru-RU"/>
              </w:rPr>
              <w:t>Түркістан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1 801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2 000</w:t>
            </w:r>
          </w:p>
        </w:tc>
      </w:tr>
    </w:tbl>
    <w:p w:rsidR="00E82CFA" w:rsidRPr="00AE7DB5" w:rsidRDefault="00E82CFA" w:rsidP="00E82CFA">
      <w:pPr>
        <w:tabs>
          <w:tab w:val="left" w:pos="426"/>
          <w:tab w:val="left" w:pos="567"/>
        </w:tabs>
        <w:spacing w:line="240" w:lineRule="auto"/>
        <w:rPr>
          <w:rFonts w:cs="Times New Roman"/>
          <w:b/>
          <w:sz w:val="20"/>
          <w:szCs w:val="20"/>
        </w:rPr>
      </w:pPr>
      <w:r>
        <w:rPr>
          <w:rFonts w:cs="Times New Roman"/>
          <w:i/>
          <w:sz w:val="20"/>
          <w:szCs w:val="20"/>
        </w:rPr>
        <w:tab/>
      </w:r>
      <w:r w:rsidRPr="00AE7DB5">
        <w:rPr>
          <w:rFonts w:cs="Times New Roman"/>
          <w:i/>
          <w:sz w:val="20"/>
          <w:szCs w:val="20"/>
        </w:rPr>
        <w:t>Источник: Комитет по статистике МНЭ РК</w:t>
      </w:r>
    </w:p>
    <w:p w:rsidR="003E68D8" w:rsidRPr="00AE7DB5" w:rsidRDefault="003E68D8" w:rsidP="00E82CFA">
      <w:pPr>
        <w:tabs>
          <w:tab w:val="left" w:pos="284"/>
        </w:tabs>
        <w:spacing w:after="0" w:line="240" w:lineRule="auto"/>
        <w:ind w:left="284"/>
        <w:rPr>
          <w:rFonts w:cs="Times New Roman"/>
          <w:i/>
          <w:sz w:val="20"/>
          <w:szCs w:val="20"/>
        </w:rPr>
      </w:pPr>
    </w:p>
    <w:sectPr w:rsidR="003E68D8" w:rsidRPr="00AE7DB5" w:rsidSect="00E50DEA">
      <w:pgSz w:w="11906" w:h="16838"/>
      <w:pgMar w:top="709" w:right="991"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4C" w:rsidRDefault="00D80E4C" w:rsidP="002E06F5">
      <w:pPr>
        <w:spacing w:after="0" w:line="240" w:lineRule="auto"/>
      </w:pPr>
      <w:r>
        <w:separator/>
      </w:r>
    </w:p>
  </w:endnote>
  <w:endnote w:type="continuationSeparator" w:id="0">
    <w:p w:rsidR="00D80E4C" w:rsidRDefault="00D80E4C" w:rsidP="002E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4C" w:rsidRDefault="00D80E4C" w:rsidP="002E06F5">
      <w:pPr>
        <w:spacing w:after="0" w:line="240" w:lineRule="auto"/>
      </w:pPr>
      <w:r>
        <w:separator/>
      </w:r>
    </w:p>
  </w:footnote>
  <w:footnote w:type="continuationSeparator" w:id="0">
    <w:p w:rsidR="00D80E4C" w:rsidRDefault="00D80E4C" w:rsidP="002E0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1C36"/>
    <w:multiLevelType w:val="multilevel"/>
    <w:tmpl w:val="9FF62BFC"/>
    <w:lvl w:ilvl="0">
      <w:start w:val="1"/>
      <w:numFmt w:val="upperRoman"/>
      <w:lvlText w:val="%1."/>
      <w:lvlJc w:val="left"/>
      <w:pPr>
        <w:ind w:left="720" w:hanging="720"/>
      </w:pPr>
      <w:rPr>
        <w:rFonts w:ascii="Candara" w:hAnsi="Candara" w:hint="default"/>
        <w:color w:val="1F3864" w:themeColor="accent5" w:themeShade="80"/>
      </w:rPr>
    </w:lvl>
    <w:lvl w:ilvl="1">
      <w:start w:val="1"/>
      <w:numFmt w:val="decimal"/>
      <w:isLgl/>
      <w:lvlText w:val="%1.%2"/>
      <w:lvlJc w:val="left"/>
      <w:pPr>
        <w:ind w:left="720" w:hanging="360"/>
      </w:pPr>
      <w:rPr>
        <w:rFonts w:ascii="Candara" w:hAnsi="Candara" w:hint="default"/>
        <w:sz w:val="22"/>
      </w:rPr>
    </w:lvl>
    <w:lvl w:ilvl="2">
      <w:start w:val="1"/>
      <w:numFmt w:val="decimal"/>
      <w:isLgl/>
      <w:lvlText w:val="%1.%2.%3"/>
      <w:lvlJc w:val="left"/>
      <w:pPr>
        <w:ind w:left="1080" w:hanging="720"/>
      </w:pPr>
      <w:rPr>
        <w:rFonts w:ascii="Candara" w:hAnsi="Candara" w:hint="default"/>
        <w:sz w:val="22"/>
      </w:rPr>
    </w:lvl>
    <w:lvl w:ilvl="3">
      <w:start w:val="1"/>
      <w:numFmt w:val="decimal"/>
      <w:isLgl/>
      <w:lvlText w:val="%1.%2.%3.%4"/>
      <w:lvlJc w:val="left"/>
      <w:pPr>
        <w:ind w:left="1080" w:hanging="720"/>
      </w:pPr>
      <w:rPr>
        <w:rFonts w:ascii="Candara" w:hAnsi="Candara" w:hint="default"/>
        <w:sz w:val="22"/>
      </w:rPr>
    </w:lvl>
    <w:lvl w:ilvl="4">
      <w:start w:val="1"/>
      <w:numFmt w:val="decimal"/>
      <w:isLgl/>
      <w:lvlText w:val="%1.%2.%3.%4.%5"/>
      <w:lvlJc w:val="left"/>
      <w:pPr>
        <w:ind w:left="1440" w:hanging="1080"/>
      </w:pPr>
      <w:rPr>
        <w:rFonts w:ascii="Candara" w:hAnsi="Candara" w:hint="default"/>
        <w:sz w:val="22"/>
      </w:rPr>
    </w:lvl>
    <w:lvl w:ilvl="5">
      <w:start w:val="1"/>
      <w:numFmt w:val="decimal"/>
      <w:isLgl/>
      <w:lvlText w:val="%1.%2.%3.%4.%5.%6"/>
      <w:lvlJc w:val="left"/>
      <w:pPr>
        <w:ind w:left="1440" w:hanging="1080"/>
      </w:pPr>
      <w:rPr>
        <w:rFonts w:ascii="Candara" w:hAnsi="Candara" w:hint="default"/>
        <w:sz w:val="22"/>
      </w:rPr>
    </w:lvl>
    <w:lvl w:ilvl="6">
      <w:start w:val="1"/>
      <w:numFmt w:val="decimal"/>
      <w:isLgl/>
      <w:lvlText w:val="%1.%2.%3.%4.%5.%6.%7"/>
      <w:lvlJc w:val="left"/>
      <w:pPr>
        <w:ind w:left="1800" w:hanging="1440"/>
      </w:pPr>
      <w:rPr>
        <w:rFonts w:ascii="Candara" w:hAnsi="Candara" w:hint="default"/>
        <w:sz w:val="22"/>
      </w:rPr>
    </w:lvl>
    <w:lvl w:ilvl="7">
      <w:start w:val="1"/>
      <w:numFmt w:val="decimal"/>
      <w:isLgl/>
      <w:lvlText w:val="%1.%2.%3.%4.%5.%6.%7.%8"/>
      <w:lvlJc w:val="left"/>
      <w:pPr>
        <w:ind w:left="1800" w:hanging="1440"/>
      </w:pPr>
      <w:rPr>
        <w:rFonts w:ascii="Candara" w:hAnsi="Candara" w:hint="default"/>
        <w:sz w:val="22"/>
      </w:rPr>
    </w:lvl>
    <w:lvl w:ilvl="8">
      <w:start w:val="1"/>
      <w:numFmt w:val="decimal"/>
      <w:isLgl/>
      <w:lvlText w:val="%1.%2.%3.%4.%5.%6.%7.%8.%9"/>
      <w:lvlJc w:val="left"/>
      <w:pPr>
        <w:ind w:left="2160" w:hanging="1800"/>
      </w:pPr>
      <w:rPr>
        <w:rFonts w:ascii="Candara" w:hAnsi="Candara" w:hint="default"/>
        <w:sz w:val="22"/>
      </w:rPr>
    </w:lvl>
  </w:abstractNum>
  <w:abstractNum w:abstractNumId="1" w15:restartNumberingAfterBreak="0">
    <w:nsid w:val="23FA592D"/>
    <w:multiLevelType w:val="hybridMultilevel"/>
    <w:tmpl w:val="2BD88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7BD335B"/>
    <w:multiLevelType w:val="hybridMultilevel"/>
    <w:tmpl w:val="A84ACEFC"/>
    <w:lvl w:ilvl="0" w:tplc="122EF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492EDA"/>
    <w:multiLevelType w:val="hybridMultilevel"/>
    <w:tmpl w:val="D366A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5367F"/>
    <w:multiLevelType w:val="hybridMultilevel"/>
    <w:tmpl w:val="6848E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312C77"/>
    <w:multiLevelType w:val="hybridMultilevel"/>
    <w:tmpl w:val="2BD88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1D2247"/>
    <w:multiLevelType w:val="hybridMultilevel"/>
    <w:tmpl w:val="C068D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250C2"/>
    <w:multiLevelType w:val="hybridMultilevel"/>
    <w:tmpl w:val="C986B0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F16DF4"/>
    <w:multiLevelType w:val="hybridMultilevel"/>
    <w:tmpl w:val="D4FC3E76"/>
    <w:lvl w:ilvl="0" w:tplc="E5B26512">
      <w:start w:val="1"/>
      <w:numFmt w:val="decimal"/>
      <w:lvlText w:val="%1."/>
      <w:lvlJc w:val="left"/>
      <w:pPr>
        <w:ind w:left="644" w:hanging="360"/>
      </w:pPr>
      <w:rPr>
        <w:rFonts w:ascii="Candara" w:hAnsi="Candara" w:cstheme="minorBidi" w:hint="default"/>
        <w:color w:val="1F3864" w:themeColor="accent5" w:themeShade="8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3"/>
  </w:num>
  <w:num w:numId="3">
    <w:abstractNumId w:val="4"/>
  </w:num>
  <w:num w:numId="4">
    <w:abstractNumId w:val="6"/>
  </w:num>
  <w:num w:numId="5">
    <w:abstractNumId w:val="7"/>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99"/>
    <w:rsid w:val="000476FD"/>
    <w:rsid w:val="00076B09"/>
    <w:rsid w:val="000A6C57"/>
    <w:rsid w:val="000B7070"/>
    <w:rsid w:val="000C33EB"/>
    <w:rsid w:val="000D12D7"/>
    <w:rsid w:val="000D2A26"/>
    <w:rsid w:val="000D36A7"/>
    <w:rsid w:val="000D7ABF"/>
    <w:rsid w:val="000F2EE5"/>
    <w:rsid w:val="0012050C"/>
    <w:rsid w:val="001227C2"/>
    <w:rsid w:val="001268A8"/>
    <w:rsid w:val="00132F29"/>
    <w:rsid w:val="001359F0"/>
    <w:rsid w:val="00142D17"/>
    <w:rsid w:val="00142F45"/>
    <w:rsid w:val="00154F5A"/>
    <w:rsid w:val="00155052"/>
    <w:rsid w:val="00166A5F"/>
    <w:rsid w:val="001733BE"/>
    <w:rsid w:val="001A07EB"/>
    <w:rsid w:val="001B530E"/>
    <w:rsid w:val="001D1A6B"/>
    <w:rsid w:val="001D5C59"/>
    <w:rsid w:val="001D6EA2"/>
    <w:rsid w:val="00203106"/>
    <w:rsid w:val="00206672"/>
    <w:rsid w:val="002072BC"/>
    <w:rsid w:val="00212C07"/>
    <w:rsid w:val="002145A2"/>
    <w:rsid w:val="002159B6"/>
    <w:rsid w:val="00223B52"/>
    <w:rsid w:val="00226F5D"/>
    <w:rsid w:val="00233844"/>
    <w:rsid w:val="002406CC"/>
    <w:rsid w:val="00240F6C"/>
    <w:rsid w:val="002539DE"/>
    <w:rsid w:val="002638A9"/>
    <w:rsid w:val="00267507"/>
    <w:rsid w:val="00267F4E"/>
    <w:rsid w:val="00272988"/>
    <w:rsid w:val="002900AB"/>
    <w:rsid w:val="0029593A"/>
    <w:rsid w:val="002A6FB6"/>
    <w:rsid w:val="002B3FF6"/>
    <w:rsid w:val="002D2F93"/>
    <w:rsid w:val="002E06F5"/>
    <w:rsid w:val="00304EEF"/>
    <w:rsid w:val="003060AE"/>
    <w:rsid w:val="00343E61"/>
    <w:rsid w:val="0034403F"/>
    <w:rsid w:val="0035588C"/>
    <w:rsid w:val="003579A2"/>
    <w:rsid w:val="00363E25"/>
    <w:rsid w:val="00377A7F"/>
    <w:rsid w:val="00392236"/>
    <w:rsid w:val="003C0F09"/>
    <w:rsid w:val="003C60DA"/>
    <w:rsid w:val="003D5D02"/>
    <w:rsid w:val="003E68D8"/>
    <w:rsid w:val="003F3483"/>
    <w:rsid w:val="004243F5"/>
    <w:rsid w:val="004433A1"/>
    <w:rsid w:val="004511A0"/>
    <w:rsid w:val="00475D97"/>
    <w:rsid w:val="0048269C"/>
    <w:rsid w:val="00483FAB"/>
    <w:rsid w:val="004842CF"/>
    <w:rsid w:val="0049738E"/>
    <w:rsid w:val="004B3CC6"/>
    <w:rsid w:val="004D01C6"/>
    <w:rsid w:val="004F0C5A"/>
    <w:rsid w:val="004F0F2F"/>
    <w:rsid w:val="004F2EB7"/>
    <w:rsid w:val="00502D5C"/>
    <w:rsid w:val="00514586"/>
    <w:rsid w:val="00522FDE"/>
    <w:rsid w:val="00534D36"/>
    <w:rsid w:val="00546C0D"/>
    <w:rsid w:val="005549A3"/>
    <w:rsid w:val="005567CB"/>
    <w:rsid w:val="005869A5"/>
    <w:rsid w:val="005A1241"/>
    <w:rsid w:val="005A311E"/>
    <w:rsid w:val="005A37F7"/>
    <w:rsid w:val="005A4306"/>
    <w:rsid w:val="005A6AEA"/>
    <w:rsid w:val="005B75BF"/>
    <w:rsid w:val="005C3E4C"/>
    <w:rsid w:val="005D723D"/>
    <w:rsid w:val="005F47A2"/>
    <w:rsid w:val="006175AD"/>
    <w:rsid w:val="0061792A"/>
    <w:rsid w:val="00634C25"/>
    <w:rsid w:val="00635372"/>
    <w:rsid w:val="006443A2"/>
    <w:rsid w:val="00646484"/>
    <w:rsid w:val="006465F1"/>
    <w:rsid w:val="006470A2"/>
    <w:rsid w:val="0065665A"/>
    <w:rsid w:val="00667547"/>
    <w:rsid w:val="0067183D"/>
    <w:rsid w:val="00673F34"/>
    <w:rsid w:val="00676889"/>
    <w:rsid w:val="006779E2"/>
    <w:rsid w:val="00682E87"/>
    <w:rsid w:val="006910ED"/>
    <w:rsid w:val="00696C6C"/>
    <w:rsid w:val="006B0028"/>
    <w:rsid w:val="006B2662"/>
    <w:rsid w:val="006B65AB"/>
    <w:rsid w:val="006C7F4C"/>
    <w:rsid w:val="006D3880"/>
    <w:rsid w:val="006D4FD3"/>
    <w:rsid w:val="00717350"/>
    <w:rsid w:val="00724DA0"/>
    <w:rsid w:val="00745C0A"/>
    <w:rsid w:val="0075451D"/>
    <w:rsid w:val="007A791B"/>
    <w:rsid w:val="007B4457"/>
    <w:rsid w:val="007B5A74"/>
    <w:rsid w:val="007B6954"/>
    <w:rsid w:val="007C53A9"/>
    <w:rsid w:val="007D789C"/>
    <w:rsid w:val="007E4B90"/>
    <w:rsid w:val="00802243"/>
    <w:rsid w:val="00802C9A"/>
    <w:rsid w:val="00803E7F"/>
    <w:rsid w:val="00805455"/>
    <w:rsid w:val="00826A37"/>
    <w:rsid w:val="00830475"/>
    <w:rsid w:val="00836D91"/>
    <w:rsid w:val="00842F5C"/>
    <w:rsid w:val="00847F3E"/>
    <w:rsid w:val="00852DE4"/>
    <w:rsid w:val="00853F79"/>
    <w:rsid w:val="00855517"/>
    <w:rsid w:val="008571F1"/>
    <w:rsid w:val="00857554"/>
    <w:rsid w:val="008615C4"/>
    <w:rsid w:val="00872F4E"/>
    <w:rsid w:val="00881969"/>
    <w:rsid w:val="0088780A"/>
    <w:rsid w:val="008A7703"/>
    <w:rsid w:val="008B61BD"/>
    <w:rsid w:val="008B6989"/>
    <w:rsid w:val="008C0CA6"/>
    <w:rsid w:val="008C36FC"/>
    <w:rsid w:val="008D00F1"/>
    <w:rsid w:val="008D481A"/>
    <w:rsid w:val="00900EFD"/>
    <w:rsid w:val="00901176"/>
    <w:rsid w:val="00901214"/>
    <w:rsid w:val="009019D8"/>
    <w:rsid w:val="00907C23"/>
    <w:rsid w:val="00910EAD"/>
    <w:rsid w:val="00925345"/>
    <w:rsid w:val="00934FCC"/>
    <w:rsid w:val="009545D8"/>
    <w:rsid w:val="00962E09"/>
    <w:rsid w:val="00963098"/>
    <w:rsid w:val="00963D14"/>
    <w:rsid w:val="00971A25"/>
    <w:rsid w:val="00977D38"/>
    <w:rsid w:val="00977E7F"/>
    <w:rsid w:val="0098079E"/>
    <w:rsid w:val="00985C37"/>
    <w:rsid w:val="00996F0C"/>
    <w:rsid w:val="009B6673"/>
    <w:rsid w:val="009C4815"/>
    <w:rsid w:val="009C4B88"/>
    <w:rsid w:val="009E05DD"/>
    <w:rsid w:val="009F11C3"/>
    <w:rsid w:val="00A02429"/>
    <w:rsid w:val="00A208A1"/>
    <w:rsid w:val="00A371FF"/>
    <w:rsid w:val="00A42ABE"/>
    <w:rsid w:val="00A431B3"/>
    <w:rsid w:val="00A7369E"/>
    <w:rsid w:val="00A815FC"/>
    <w:rsid w:val="00A87DA6"/>
    <w:rsid w:val="00A9592B"/>
    <w:rsid w:val="00A95DD0"/>
    <w:rsid w:val="00AB1D8A"/>
    <w:rsid w:val="00AD1851"/>
    <w:rsid w:val="00AE7DB5"/>
    <w:rsid w:val="00AF0A36"/>
    <w:rsid w:val="00AF1D0C"/>
    <w:rsid w:val="00AF466E"/>
    <w:rsid w:val="00AF5ADD"/>
    <w:rsid w:val="00B04598"/>
    <w:rsid w:val="00B104F0"/>
    <w:rsid w:val="00B1751F"/>
    <w:rsid w:val="00B26C4F"/>
    <w:rsid w:val="00B301F8"/>
    <w:rsid w:val="00B55203"/>
    <w:rsid w:val="00B7785A"/>
    <w:rsid w:val="00B805F8"/>
    <w:rsid w:val="00B86135"/>
    <w:rsid w:val="00B87810"/>
    <w:rsid w:val="00BA3A1B"/>
    <w:rsid w:val="00BB4350"/>
    <w:rsid w:val="00BB75E4"/>
    <w:rsid w:val="00BB79E8"/>
    <w:rsid w:val="00BD566C"/>
    <w:rsid w:val="00BF2E2F"/>
    <w:rsid w:val="00BF7D04"/>
    <w:rsid w:val="00C10A97"/>
    <w:rsid w:val="00C116A0"/>
    <w:rsid w:val="00C30152"/>
    <w:rsid w:val="00C50188"/>
    <w:rsid w:val="00C50199"/>
    <w:rsid w:val="00C71D7E"/>
    <w:rsid w:val="00C937CF"/>
    <w:rsid w:val="00CA1879"/>
    <w:rsid w:val="00CB3554"/>
    <w:rsid w:val="00CB722C"/>
    <w:rsid w:val="00CC2356"/>
    <w:rsid w:val="00CC57F5"/>
    <w:rsid w:val="00CD305C"/>
    <w:rsid w:val="00CE1807"/>
    <w:rsid w:val="00CE284E"/>
    <w:rsid w:val="00CE7719"/>
    <w:rsid w:val="00D220D7"/>
    <w:rsid w:val="00D422BF"/>
    <w:rsid w:val="00D52413"/>
    <w:rsid w:val="00D54997"/>
    <w:rsid w:val="00D607CC"/>
    <w:rsid w:val="00D651D6"/>
    <w:rsid w:val="00D7478C"/>
    <w:rsid w:val="00D8033B"/>
    <w:rsid w:val="00D80E4C"/>
    <w:rsid w:val="00D83369"/>
    <w:rsid w:val="00D84FD8"/>
    <w:rsid w:val="00D85988"/>
    <w:rsid w:val="00D93F76"/>
    <w:rsid w:val="00DA15E4"/>
    <w:rsid w:val="00DC52A0"/>
    <w:rsid w:val="00DD661D"/>
    <w:rsid w:val="00DF2597"/>
    <w:rsid w:val="00E03F94"/>
    <w:rsid w:val="00E1121E"/>
    <w:rsid w:val="00E3230D"/>
    <w:rsid w:val="00E50DEA"/>
    <w:rsid w:val="00E5498D"/>
    <w:rsid w:val="00E614A3"/>
    <w:rsid w:val="00E73314"/>
    <w:rsid w:val="00E8111D"/>
    <w:rsid w:val="00E82CFA"/>
    <w:rsid w:val="00E91A3F"/>
    <w:rsid w:val="00E95345"/>
    <w:rsid w:val="00E95458"/>
    <w:rsid w:val="00EA0CCD"/>
    <w:rsid w:val="00EA127E"/>
    <w:rsid w:val="00EA2069"/>
    <w:rsid w:val="00EA3746"/>
    <w:rsid w:val="00EB661F"/>
    <w:rsid w:val="00EB6BCD"/>
    <w:rsid w:val="00EB71D2"/>
    <w:rsid w:val="00ED0F36"/>
    <w:rsid w:val="00EF4404"/>
    <w:rsid w:val="00EF5137"/>
    <w:rsid w:val="00EF69B7"/>
    <w:rsid w:val="00EF7CE6"/>
    <w:rsid w:val="00F04541"/>
    <w:rsid w:val="00F0479B"/>
    <w:rsid w:val="00F1258D"/>
    <w:rsid w:val="00F26D45"/>
    <w:rsid w:val="00F409F3"/>
    <w:rsid w:val="00F420A0"/>
    <w:rsid w:val="00F54631"/>
    <w:rsid w:val="00F579D3"/>
    <w:rsid w:val="00F66B2D"/>
    <w:rsid w:val="00F723C9"/>
    <w:rsid w:val="00F80D4A"/>
    <w:rsid w:val="00F955A9"/>
    <w:rsid w:val="00F96AED"/>
    <w:rsid w:val="00FA361C"/>
    <w:rsid w:val="00FB6695"/>
    <w:rsid w:val="00FC3649"/>
    <w:rsid w:val="00FC6B40"/>
    <w:rsid w:val="00FE05AA"/>
    <w:rsid w:val="00FE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003E3-EF7D-4D53-959A-2B3E9D04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Heading1,Colorful List - Accent 11,Абзац,маркированный,Список 1,Средняя сетка 1 - Акцент 21,N_List Paragraph,References,Akapit z listą BS,List_Paragraph,Multilevel para_II,Bullet1,Main numbered paragraph,Абзац с отступом"/>
    <w:basedOn w:val="a"/>
    <w:link w:val="a4"/>
    <w:uiPriority w:val="34"/>
    <w:qFormat/>
    <w:rsid w:val="00C50199"/>
    <w:pPr>
      <w:ind w:left="720"/>
      <w:contextualSpacing/>
    </w:pPr>
  </w:style>
  <w:style w:type="table" w:customStyle="1" w:styleId="-21">
    <w:name w:val="Список-таблица 21"/>
    <w:basedOn w:val="a1"/>
    <w:uiPriority w:val="47"/>
    <w:rsid w:val="00C501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5">
    <w:name w:val="ОснТекст"/>
    <w:link w:val="a6"/>
    <w:rsid w:val="00C50199"/>
    <w:pPr>
      <w:spacing w:after="0" w:line="240" w:lineRule="auto"/>
      <w:ind w:firstLine="709"/>
      <w:jc w:val="both"/>
    </w:pPr>
    <w:rPr>
      <w:rFonts w:ascii="Arial" w:eastAsia="Times New Roman" w:hAnsi="Arial" w:cs="Times New Roman"/>
      <w:noProof/>
      <w:sz w:val="20"/>
      <w:szCs w:val="20"/>
      <w:lang w:eastAsia="ru-RU"/>
    </w:rPr>
  </w:style>
  <w:style w:type="character" w:customStyle="1" w:styleId="a6">
    <w:name w:val="ОснТекст Знак"/>
    <w:basedOn w:val="a0"/>
    <w:link w:val="a5"/>
    <w:rsid w:val="00C50199"/>
    <w:rPr>
      <w:rFonts w:ascii="Arial" w:eastAsia="Times New Roman" w:hAnsi="Arial" w:cs="Times New Roman"/>
      <w:noProof/>
      <w:sz w:val="20"/>
      <w:szCs w:val="20"/>
      <w:lang w:eastAsia="ru-RU"/>
    </w:rPr>
  </w:style>
  <w:style w:type="paragraph" w:styleId="a7">
    <w:name w:val="header"/>
    <w:basedOn w:val="a"/>
    <w:link w:val="a8"/>
    <w:uiPriority w:val="99"/>
    <w:unhideWhenUsed/>
    <w:rsid w:val="002E06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06F5"/>
  </w:style>
  <w:style w:type="paragraph" w:styleId="a9">
    <w:name w:val="footer"/>
    <w:basedOn w:val="a"/>
    <w:link w:val="aa"/>
    <w:uiPriority w:val="99"/>
    <w:unhideWhenUsed/>
    <w:rsid w:val="002E06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06F5"/>
  </w:style>
  <w:style w:type="paragraph" w:customStyle="1" w:styleId="DecimalAligned">
    <w:name w:val="Decimal Aligned"/>
    <w:basedOn w:val="a"/>
    <w:uiPriority w:val="40"/>
    <w:qFormat/>
    <w:rsid w:val="003060AE"/>
    <w:pPr>
      <w:tabs>
        <w:tab w:val="decimal" w:pos="360"/>
      </w:tabs>
      <w:spacing w:after="200" w:line="276" w:lineRule="auto"/>
    </w:pPr>
    <w:rPr>
      <w:rFonts w:eastAsiaTheme="minorEastAsia" w:cs="Times New Roman"/>
      <w:lang w:eastAsia="ru-RU"/>
    </w:rPr>
  </w:style>
  <w:style w:type="paragraph" w:styleId="ab">
    <w:name w:val="footnote text"/>
    <w:basedOn w:val="a"/>
    <w:link w:val="ac"/>
    <w:uiPriority w:val="99"/>
    <w:unhideWhenUsed/>
    <w:rsid w:val="003060AE"/>
    <w:pPr>
      <w:spacing w:after="0" w:line="240" w:lineRule="auto"/>
    </w:pPr>
    <w:rPr>
      <w:rFonts w:eastAsiaTheme="minorEastAsia" w:cs="Times New Roman"/>
      <w:sz w:val="20"/>
      <w:szCs w:val="20"/>
      <w:lang w:eastAsia="ru-RU"/>
    </w:rPr>
  </w:style>
  <w:style w:type="character" w:customStyle="1" w:styleId="ac">
    <w:name w:val="Текст сноски Знак"/>
    <w:basedOn w:val="a0"/>
    <w:link w:val="ab"/>
    <w:uiPriority w:val="99"/>
    <w:rsid w:val="003060AE"/>
    <w:rPr>
      <w:rFonts w:eastAsiaTheme="minorEastAsia" w:cs="Times New Roman"/>
      <w:sz w:val="20"/>
      <w:szCs w:val="20"/>
      <w:lang w:eastAsia="ru-RU"/>
    </w:rPr>
  </w:style>
  <w:style w:type="character" w:styleId="ad">
    <w:name w:val="Subtle Emphasis"/>
    <w:basedOn w:val="a0"/>
    <w:uiPriority w:val="19"/>
    <w:qFormat/>
    <w:rsid w:val="003060AE"/>
    <w:rPr>
      <w:i/>
      <w:iCs/>
    </w:rPr>
  </w:style>
  <w:style w:type="table" w:styleId="-1">
    <w:name w:val="Light Shading Accent 1"/>
    <w:basedOn w:val="a1"/>
    <w:uiPriority w:val="60"/>
    <w:rsid w:val="003060AE"/>
    <w:pPr>
      <w:spacing w:after="0" w:line="240" w:lineRule="auto"/>
    </w:pPr>
    <w:rPr>
      <w:rFonts w:eastAsiaTheme="minorEastAsia"/>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ae">
    <w:name w:val="Наименование"/>
    <w:basedOn w:val="a"/>
    <w:next w:val="a"/>
    <w:link w:val="af"/>
    <w:rsid w:val="00483FAB"/>
    <w:pPr>
      <w:spacing w:before="200" w:after="200" w:line="240" w:lineRule="auto"/>
      <w:jc w:val="center"/>
    </w:pPr>
    <w:rPr>
      <w:rFonts w:ascii="Times New Roman" w:eastAsia="Times New Roman" w:hAnsi="Times New Roman" w:cs="Times New Roman"/>
      <w:b/>
      <w:color w:val="000000"/>
      <w:szCs w:val="20"/>
      <w:lang w:eastAsia="ru-RU"/>
    </w:rPr>
  </w:style>
  <w:style w:type="character" w:customStyle="1" w:styleId="a4">
    <w:name w:val="Абзац списка Знак"/>
    <w:aliases w:val="Elenco Normale Знак,Heading1 Знак,Colorful List - Accent 11 Знак,Абзац Знак,маркированный Знак,Список 1 Знак,Средняя сетка 1 - Акцент 21 Знак,N_List Paragraph Знак,References Знак,Akapit z listą BS Знак,List_Paragraph Знак,Bullet1 Знак"/>
    <w:link w:val="a3"/>
    <w:uiPriority w:val="34"/>
    <w:locked/>
    <w:rsid w:val="00483FAB"/>
  </w:style>
  <w:style w:type="paragraph" w:styleId="af0">
    <w:name w:val="Normal (Web)"/>
    <w:aliases w:val=" 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4,Знак4 Знак Знак"/>
    <w:basedOn w:val="a"/>
    <w:link w:val="af1"/>
    <w:uiPriority w:val="99"/>
    <w:unhideWhenUsed/>
    <w:qFormat/>
    <w:rsid w:val="0084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 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0"/>
    <w:uiPriority w:val="99"/>
    <w:locked/>
    <w:rsid w:val="00ED0F36"/>
    <w:rPr>
      <w:rFonts w:ascii="Times New Roman" w:eastAsia="Times New Roman" w:hAnsi="Times New Roman" w:cs="Times New Roman"/>
      <w:sz w:val="24"/>
      <w:szCs w:val="24"/>
      <w:lang w:eastAsia="ru-RU"/>
    </w:rPr>
  </w:style>
  <w:style w:type="character" w:customStyle="1" w:styleId="j21">
    <w:name w:val="j21"/>
    <w:basedOn w:val="a0"/>
    <w:rsid w:val="00A815FC"/>
  </w:style>
  <w:style w:type="character" w:styleId="af2">
    <w:name w:val="Hyperlink"/>
    <w:uiPriority w:val="99"/>
    <w:unhideWhenUsed/>
    <w:rsid w:val="004F0C5A"/>
    <w:rPr>
      <w:color w:val="333399"/>
      <w:u w:val="single"/>
    </w:rPr>
  </w:style>
  <w:style w:type="character" w:styleId="af3">
    <w:name w:val="page number"/>
    <w:basedOn w:val="a0"/>
    <w:rsid w:val="007D789C"/>
    <w:rPr>
      <w:rFonts w:ascii="Arial" w:hAnsi="Arial"/>
      <w:sz w:val="22"/>
    </w:rPr>
  </w:style>
  <w:style w:type="paragraph" w:customStyle="1" w:styleId="Zagolovok1">
    <w:name w:val="Zagolovok1"/>
    <w:rsid w:val="007D789C"/>
    <w:pPr>
      <w:spacing w:before="680" w:line="240" w:lineRule="auto"/>
      <w:ind w:left="851" w:right="851"/>
      <w:jc w:val="center"/>
    </w:pPr>
    <w:rPr>
      <w:rFonts w:ascii="Arial" w:eastAsia="Times New Roman" w:hAnsi="Arial" w:cs="Times New Roman"/>
      <w:b/>
      <w:noProof/>
      <w:sz w:val="28"/>
      <w:szCs w:val="20"/>
      <w:lang w:eastAsia="ru-RU"/>
    </w:rPr>
  </w:style>
  <w:style w:type="paragraph" w:customStyle="1" w:styleId="af4">
    <w:name w:val="Единица измерения"/>
    <w:basedOn w:val="a5"/>
    <w:next w:val="a"/>
    <w:rsid w:val="007D789C"/>
    <w:pPr>
      <w:tabs>
        <w:tab w:val="right" w:pos="9356"/>
      </w:tabs>
      <w:spacing w:before="60" w:after="40"/>
      <w:ind w:firstLine="0"/>
      <w:jc w:val="left"/>
    </w:pPr>
    <w:rPr>
      <w:rFonts w:ascii="Times New Roman" w:hAnsi="Times New Roman"/>
      <w:b/>
      <w:noProof w:val="0"/>
      <w:color w:val="0000FF"/>
      <w:sz w:val="16"/>
    </w:rPr>
  </w:style>
  <w:style w:type="paragraph" w:customStyle="1" w:styleId="First">
    <w:name w:val="FirstОснТекст"/>
    <w:basedOn w:val="a5"/>
    <w:next w:val="a5"/>
    <w:link w:val="First0"/>
    <w:rsid w:val="002A6FB6"/>
    <w:pPr>
      <w:spacing w:before="160"/>
      <w:ind w:firstLine="0"/>
    </w:pPr>
  </w:style>
  <w:style w:type="character" w:customStyle="1" w:styleId="First0">
    <w:name w:val="FirstОснТекст Знак"/>
    <w:basedOn w:val="a6"/>
    <w:link w:val="First"/>
    <w:rsid w:val="002A6FB6"/>
    <w:rPr>
      <w:rFonts w:ascii="Arial" w:eastAsia="Times New Roman" w:hAnsi="Arial" w:cs="Times New Roman"/>
      <w:noProof/>
      <w:sz w:val="20"/>
      <w:szCs w:val="20"/>
      <w:lang w:eastAsia="ru-RU"/>
    </w:rPr>
  </w:style>
  <w:style w:type="paragraph" w:styleId="af5">
    <w:name w:val="Body Text Indent"/>
    <w:basedOn w:val="a"/>
    <w:link w:val="af6"/>
    <w:rsid w:val="00AF1D0C"/>
    <w:pPr>
      <w:spacing w:before="120" w:after="0" w:line="240" w:lineRule="auto"/>
      <w:ind w:firstLine="720"/>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0"/>
    <w:link w:val="af5"/>
    <w:rsid w:val="00AF1D0C"/>
    <w:rPr>
      <w:rFonts w:ascii="Times New Roman" w:eastAsia="Times New Roman" w:hAnsi="Times New Roman" w:cs="Times New Roman"/>
      <w:sz w:val="24"/>
      <w:szCs w:val="20"/>
      <w:lang w:eastAsia="ru-RU"/>
    </w:rPr>
  </w:style>
  <w:style w:type="paragraph" w:customStyle="1" w:styleId="af7">
    <w:name w:val="ШапкаТаблицы"/>
    <w:basedOn w:val="a5"/>
    <w:next w:val="af8"/>
    <w:rsid w:val="00272988"/>
    <w:pPr>
      <w:ind w:firstLine="0"/>
      <w:jc w:val="center"/>
    </w:pPr>
    <w:rPr>
      <w:sz w:val="16"/>
    </w:rPr>
  </w:style>
  <w:style w:type="paragraph" w:customStyle="1" w:styleId="af8">
    <w:name w:val="Боковик"/>
    <w:basedOn w:val="a5"/>
    <w:rsid w:val="00272988"/>
    <w:pPr>
      <w:ind w:firstLine="0"/>
      <w:jc w:val="left"/>
    </w:pPr>
    <w:rPr>
      <w:sz w:val="16"/>
    </w:rPr>
  </w:style>
  <w:style w:type="character" w:customStyle="1" w:styleId="af">
    <w:name w:val="Наименование Знак"/>
    <w:basedOn w:val="a6"/>
    <w:link w:val="ae"/>
    <w:rsid w:val="00272988"/>
    <w:rPr>
      <w:rFonts w:ascii="Times New Roman" w:eastAsia="Times New Roman" w:hAnsi="Times New Roman" w:cs="Times New Roman"/>
      <w:b/>
      <w:noProof/>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2032">
      <w:bodyDiv w:val="1"/>
      <w:marLeft w:val="0"/>
      <w:marRight w:val="0"/>
      <w:marTop w:val="0"/>
      <w:marBottom w:val="0"/>
      <w:divBdr>
        <w:top w:val="none" w:sz="0" w:space="0" w:color="auto"/>
        <w:left w:val="none" w:sz="0" w:space="0" w:color="auto"/>
        <w:bottom w:val="none" w:sz="0" w:space="0" w:color="auto"/>
        <w:right w:val="none" w:sz="0" w:space="0" w:color="auto"/>
      </w:divBdr>
    </w:div>
    <w:div w:id="298342974">
      <w:bodyDiv w:val="1"/>
      <w:marLeft w:val="0"/>
      <w:marRight w:val="0"/>
      <w:marTop w:val="0"/>
      <w:marBottom w:val="0"/>
      <w:divBdr>
        <w:top w:val="none" w:sz="0" w:space="0" w:color="auto"/>
        <w:left w:val="none" w:sz="0" w:space="0" w:color="auto"/>
        <w:bottom w:val="none" w:sz="0" w:space="0" w:color="auto"/>
        <w:right w:val="none" w:sz="0" w:space="0" w:color="auto"/>
      </w:divBdr>
    </w:div>
    <w:div w:id="622809891">
      <w:bodyDiv w:val="1"/>
      <w:marLeft w:val="0"/>
      <w:marRight w:val="0"/>
      <w:marTop w:val="0"/>
      <w:marBottom w:val="0"/>
      <w:divBdr>
        <w:top w:val="none" w:sz="0" w:space="0" w:color="auto"/>
        <w:left w:val="none" w:sz="0" w:space="0" w:color="auto"/>
        <w:bottom w:val="none" w:sz="0" w:space="0" w:color="auto"/>
        <w:right w:val="none" w:sz="0" w:space="0" w:color="auto"/>
      </w:divBdr>
    </w:div>
    <w:div w:id="1169061655">
      <w:bodyDiv w:val="1"/>
      <w:marLeft w:val="0"/>
      <w:marRight w:val="0"/>
      <w:marTop w:val="0"/>
      <w:marBottom w:val="0"/>
      <w:divBdr>
        <w:top w:val="none" w:sz="0" w:space="0" w:color="auto"/>
        <w:left w:val="none" w:sz="0" w:space="0" w:color="auto"/>
        <w:bottom w:val="none" w:sz="0" w:space="0" w:color="auto"/>
        <w:right w:val="none" w:sz="0" w:space="0" w:color="auto"/>
      </w:divBdr>
    </w:div>
    <w:div w:id="1447579170">
      <w:bodyDiv w:val="1"/>
      <w:marLeft w:val="0"/>
      <w:marRight w:val="0"/>
      <w:marTop w:val="0"/>
      <w:marBottom w:val="0"/>
      <w:divBdr>
        <w:top w:val="none" w:sz="0" w:space="0" w:color="auto"/>
        <w:left w:val="none" w:sz="0" w:space="0" w:color="auto"/>
        <w:bottom w:val="none" w:sz="0" w:space="0" w:color="auto"/>
        <w:right w:val="none" w:sz="0" w:space="0" w:color="auto"/>
      </w:divBdr>
    </w:div>
    <w:div w:id="1778477031">
      <w:bodyDiv w:val="1"/>
      <w:marLeft w:val="0"/>
      <w:marRight w:val="0"/>
      <w:marTop w:val="0"/>
      <w:marBottom w:val="0"/>
      <w:divBdr>
        <w:top w:val="none" w:sz="0" w:space="0" w:color="auto"/>
        <w:left w:val="none" w:sz="0" w:space="0" w:color="auto"/>
        <w:bottom w:val="none" w:sz="0" w:space="0" w:color="auto"/>
        <w:right w:val="none" w:sz="0" w:space="0" w:color="auto"/>
      </w:divBdr>
    </w:div>
    <w:div w:id="1815368035">
      <w:bodyDiv w:val="1"/>
      <w:marLeft w:val="0"/>
      <w:marRight w:val="0"/>
      <w:marTop w:val="0"/>
      <w:marBottom w:val="0"/>
      <w:divBdr>
        <w:top w:val="none" w:sz="0" w:space="0" w:color="auto"/>
        <w:left w:val="none" w:sz="0" w:space="0" w:color="auto"/>
        <w:bottom w:val="none" w:sz="0" w:space="0" w:color="auto"/>
        <w:right w:val="none" w:sz="0" w:space="0" w:color="auto"/>
      </w:divBdr>
    </w:div>
    <w:div w:id="1837499282">
      <w:bodyDiv w:val="1"/>
      <w:marLeft w:val="0"/>
      <w:marRight w:val="0"/>
      <w:marTop w:val="0"/>
      <w:marBottom w:val="0"/>
      <w:divBdr>
        <w:top w:val="none" w:sz="0" w:space="0" w:color="auto"/>
        <w:left w:val="none" w:sz="0" w:space="0" w:color="auto"/>
        <w:bottom w:val="none" w:sz="0" w:space="0" w:color="auto"/>
        <w:right w:val="none" w:sz="0" w:space="0" w:color="auto"/>
      </w:divBdr>
    </w:div>
    <w:div w:id="19594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oleObject" Target="file:///\\fileserver\&#1044;&#1055;&#1048;&#1050;_&#1054;&#1073;&#1097;&#1072;&#1103;_&#1087;&#1072;&#1087;&#1082;&#1072;\3.%20&#1059;&#1040;&#1057;\&#1040;&#1085;&#1072;&#1083;&#1080;&#1090;&#1080;&#1082;&#1072;%20&#1085;&#1072;%20&#1082;&#1086;&#1088;&#1087;.&#1089;&#1072;&#1081;&#1090;\&#1040;&#1085;&#1072;&#1083;&#1080;&#1090;&#1080;&#1082;&#1072;_2020\&#1048;&#1085;&#1074;%20&#1074;%20&#1078;&#1080;&#1083;%20&#1089;&#1090;&#1088;-&#1074;&#1086;%20&#1088;&#1091;&#1089;%20(2).xls"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abitov.t\Downloads\&#1062;&#1077;&#1085;&#1099;%20&#1087;&#1088;&#1086;&#1076;&#1072;&#1078;&#1080;%20&#1085;&#1086;&#1074;&#1086;&#1075;&#1086;%20&#1078;&#1080;&#1083;&#1100;&#1103;.xls"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abitov.t\Downloads\&#1062;&#1077;&#1085;&#1099;%20&#1087;&#1077;&#1088;&#1077;&#1087;&#1088;&#1086;&#1076;&#1072;&#1078;&#1080;%20&#1073;&#1083;&#1072;&#1075;&#1086;&#1091;&#1089;&#1090;&#1088;&#1086;&#1077;&#1085;&#1085;&#1086;&#1075;&#1086;%20&#1078;&#1080;&#1083;&#1100;&#1103;-1.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900">
                <a:solidFill>
                  <a:schemeClr val="bg2">
                    <a:lumMod val="25000"/>
                  </a:schemeClr>
                </a:solidFill>
              </a:rPr>
              <a:t>Активы, млрд.тенге</a:t>
            </a:r>
          </a:p>
        </c:rich>
      </c:tx>
      <c:layout/>
      <c:overlay val="0"/>
      <c:spPr>
        <a:noFill/>
        <a:ln>
          <a:noFill/>
        </a:ln>
        <a:effectLst/>
      </c:spPr>
    </c:title>
    <c:autoTitleDeleted val="0"/>
    <c:plotArea>
      <c:layout>
        <c:manualLayout>
          <c:layoutTarget val="inner"/>
          <c:xMode val="edge"/>
          <c:yMode val="edge"/>
          <c:x val="8.0597611812153316E-2"/>
          <c:y val="8.8221425637957526E-2"/>
          <c:w val="0.9368723098995696"/>
          <c:h val="0.69672989202170732"/>
        </c:manualLayout>
      </c:layout>
      <c:barChart>
        <c:barDir val="col"/>
        <c:grouping val="clustered"/>
        <c:varyColors val="0"/>
        <c:ser>
          <c:idx val="0"/>
          <c:order val="0"/>
          <c:tx>
            <c:strRef>
              <c:f>Лист1!$B$1</c:f>
              <c:strCache>
                <c:ptCount val="1"/>
                <c:pt idx="0">
                  <c:v>01.01.2020</c:v>
                </c:pt>
              </c:strCache>
            </c:strRef>
          </c:tx>
          <c:spPr>
            <a:solidFill>
              <a:srgbClr val="4472C4">
                <a:lumMod val="75000"/>
              </a:srgbClr>
            </a:solidFill>
            <a:ln>
              <a:noFill/>
            </a:ln>
            <a:effectLst/>
          </c:spPr>
          <c:invertIfNegative val="0"/>
          <c:dLbls>
            <c:dLbl>
              <c:idx val="1"/>
              <c:layout>
                <c:manualLayout>
                  <c:x val="-5.2397170552790631E-3"/>
                  <c:y val="-7.1031079223358348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2397170552792071E-3"/>
                  <c:y val="7.748934521503293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6198585276395073E-3"/>
                  <c:y val="1.1623401782254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2397170552790631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АО "Народный Банк Казахстана"</c:v>
                </c:pt>
                <c:pt idx="1">
                  <c:v>ДБ АО "Сбербанк"</c:v>
                </c:pt>
                <c:pt idx="2">
                  <c:v>АО "KASPI BANK"</c:v>
                </c:pt>
                <c:pt idx="3">
                  <c:v>АО "ForteBank"</c:v>
                </c:pt>
                <c:pt idx="4">
                  <c:v>АО  "Банк ЦентрКредит"</c:v>
                </c:pt>
                <c:pt idx="5">
                  <c:v>АО "Отбасы банк"</c:v>
                </c:pt>
                <c:pt idx="6">
                  <c:v>АО "Jysan Bank"</c:v>
                </c:pt>
                <c:pt idx="7">
                  <c:v>АО "Евразийский Банк"</c:v>
                </c:pt>
                <c:pt idx="8">
                  <c:v>АО "АТФБанк"</c:v>
                </c:pt>
              </c:strCache>
            </c:strRef>
          </c:cat>
          <c:val>
            <c:numRef>
              <c:f>Лист1!$B$2:$B$10</c:f>
              <c:numCache>
                <c:formatCode>#,##0</c:formatCode>
                <c:ptCount val="9"/>
                <c:pt idx="0">
                  <c:v>8841</c:v>
                </c:pt>
                <c:pt idx="1">
                  <c:v>2207</c:v>
                </c:pt>
                <c:pt idx="2">
                  <c:v>2172</c:v>
                </c:pt>
                <c:pt idx="3">
                  <c:v>2196</c:v>
                </c:pt>
                <c:pt idx="4">
                  <c:v>1469</c:v>
                </c:pt>
                <c:pt idx="5">
                  <c:v>1353</c:v>
                </c:pt>
                <c:pt idx="6">
                  <c:v>1330</c:v>
                </c:pt>
                <c:pt idx="7">
                  <c:v>1064</c:v>
                </c:pt>
                <c:pt idx="8">
                  <c:v>1427</c:v>
                </c:pt>
              </c:numCache>
            </c:numRef>
          </c:val>
        </c:ser>
        <c:ser>
          <c:idx val="1"/>
          <c:order val="1"/>
          <c:tx>
            <c:strRef>
              <c:f>Лист1!$C$1</c:f>
              <c:strCache>
                <c:ptCount val="1"/>
                <c:pt idx="0">
                  <c:v>01.01.2021</c:v>
                </c:pt>
              </c:strCache>
            </c:strRef>
          </c:tx>
          <c:spPr>
            <a:solidFill>
              <a:srgbClr val="5B9BD5">
                <a:lumMod val="60000"/>
                <a:lumOff val="40000"/>
              </a:srgbClr>
            </a:solidFill>
            <a:ln>
              <a:noFill/>
            </a:ln>
            <a:effectLst/>
          </c:spPr>
          <c:invertIfNegative val="0"/>
          <c:dLbls>
            <c:dLbl>
              <c:idx val="0"/>
              <c:layout>
                <c:manualLayout>
                  <c:x val="1.9646365422396849E-2"/>
                  <c:y val="-0.2088245200404176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5451079814917859E-3"/>
                  <c:y val="1.504239033274664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882054794237961E-2"/>
                  <c:y val="1.574803149606228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787919357866486E-2"/>
                  <c:y val="3.0589986790202175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0961983171019E-2"/>
                  <c:y val="-4.978232815822541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5989863004088768E-3"/>
                  <c:y val="1.50393395711238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4814866768848024E-3"/>
                  <c:y val="2.424897875754682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9.1639350687662251E-3"/>
                  <c:y val="3.553832214212349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234559853452953E-3"/>
                  <c:y val="8.848429010302421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АО "Народный Банк Казахстана"</c:v>
                </c:pt>
                <c:pt idx="1">
                  <c:v>ДБ АО "Сбербанк"</c:v>
                </c:pt>
                <c:pt idx="2">
                  <c:v>АО "KASPI BANK"</c:v>
                </c:pt>
                <c:pt idx="3">
                  <c:v>АО "ForteBank"</c:v>
                </c:pt>
                <c:pt idx="4">
                  <c:v>АО  "Банк ЦентрКредит"</c:v>
                </c:pt>
                <c:pt idx="5">
                  <c:v>АО "Отбасы банк"</c:v>
                </c:pt>
                <c:pt idx="6">
                  <c:v>АО "Jysan Bank"</c:v>
                </c:pt>
                <c:pt idx="7">
                  <c:v>АО "Евразийский Банк"</c:v>
                </c:pt>
                <c:pt idx="8">
                  <c:v>АО "АТФБанк"</c:v>
                </c:pt>
              </c:strCache>
            </c:strRef>
          </c:cat>
          <c:val>
            <c:numRef>
              <c:f>Лист1!$C$2:$C$10</c:f>
              <c:numCache>
                <c:formatCode>#,##0</c:formatCode>
                <c:ptCount val="9"/>
                <c:pt idx="0">
                  <c:v>9972</c:v>
                </c:pt>
                <c:pt idx="1">
                  <c:v>3167</c:v>
                </c:pt>
                <c:pt idx="2">
                  <c:v>2809</c:v>
                </c:pt>
                <c:pt idx="3">
                  <c:v>2160</c:v>
                </c:pt>
                <c:pt idx="4">
                  <c:v>1849</c:v>
                </c:pt>
                <c:pt idx="5">
                  <c:v>1708</c:v>
                </c:pt>
                <c:pt idx="6">
                  <c:v>1652</c:v>
                </c:pt>
                <c:pt idx="7">
                  <c:v>1218</c:v>
                </c:pt>
                <c:pt idx="8">
                  <c:v>1175</c:v>
                </c:pt>
              </c:numCache>
            </c:numRef>
          </c:val>
        </c:ser>
        <c:dLbls>
          <c:showLegendKey val="0"/>
          <c:showVal val="0"/>
          <c:showCatName val="0"/>
          <c:showSerName val="0"/>
          <c:showPercent val="0"/>
          <c:showBubbleSize val="0"/>
        </c:dLbls>
        <c:gapWidth val="60"/>
        <c:overlap val="2"/>
        <c:axId val="1113628144"/>
        <c:axId val="1113639568"/>
      </c:barChart>
      <c:lineChart>
        <c:grouping val="standard"/>
        <c:varyColors val="0"/>
        <c:ser>
          <c:idx val="2"/>
          <c:order val="2"/>
          <c:tx>
            <c:strRef>
              <c:f>Лист1!$D$1</c:f>
              <c:strCache>
                <c:ptCount val="1"/>
                <c:pt idx="0">
                  <c:v>Изменение за 12 месяцев</c:v>
                </c:pt>
              </c:strCache>
            </c:strRef>
          </c:tx>
          <c:spPr>
            <a:ln>
              <a:solidFill>
                <a:srgbClr val="C00000"/>
              </a:solidFill>
            </a:ln>
            <a:effectLst/>
          </c:spPr>
          <c:marker>
            <c:symbol val="square"/>
            <c:size val="5"/>
            <c:spPr>
              <a:ln>
                <a:solidFill>
                  <a:sysClr val="windowText" lastClr="000000"/>
                </a:solidFill>
              </a:ln>
            </c:spPr>
          </c:marker>
          <c:dLbls>
            <c:dLbl>
              <c:idx val="0"/>
              <c:layout>
                <c:manualLayout>
                  <c:x val="-1.0479434110558029E-2"/>
                  <c:y val="-2.3246803564509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479434110558029E-2"/>
                  <c:y val="7.748934521503151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Лист1!$A$2:$A$10</c:f>
              <c:strCache>
                <c:ptCount val="9"/>
                <c:pt idx="0">
                  <c:v>АО "Народный Банк Казахстана"</c:v>
                </c:pt>
                <c:pt idx="1">
                  <c:v>ДБ АО "Сбербанк"</c:v>
                </c:pt>
                <c:pt idx="2">
                  <c:v>АО "KASPI BANK"</c:v>
                </c:pt>
                <c:pt idx="3">
                  <c:v>АО "ForteBank"</c:v>
                </c:pt>
                <c:pt idx="4">
                  <c:v>АО  "Банк ЦентрКредит"</c:v>
                </c:pt>
                <c:pt idx="5">
                  <c:v>АО "Отбасы банк"</c:v>
                </c:pt>
                <c:pt idx="6">
                  <c:v>АО "Jysan Bank"</c:v>
                </c:pt>
                <c:pt idx="7">
                  <c:v>АО "Евразийский Банк"</c:v>
                </c:pt>
                <c:pt idx="8">
                  <c:v>АО "АТФБанк"</c:v>
                </c:pt>
              </c:strCache>
            </c:strRef>
          </c:cat>
          <c:val>
            <c:numRef>
              <c:f>Лист1!$D$2:$D$10</c:f>
              <c:numCache>
                <c:formatCode>#,##0</c:formatCode>
                <c:ptCount val="9"/>
                <c:pt idx="0">
                  <c:v>1131</c:v>
                </c:pt>
                <c:pt idx="1">
                  <c:v>960</c:v>
                </c:pt>
                <c:pt idx="2">
                  <c:v>637</c:v>
                </c:pt>
                <c:pt idx="3">
                  <c:v>-36</c:v>
                </c:pt>
                <c:pt idx="4">
                  <c:v>380</c:v>
                </c:pt>
                <c:pt idx="5">
                  <c:v>355</c:v>
                </c:pt>
                <c:pt idx="6">
                  <c:v>322</c:v>
                </c:pt>
                <c:pt idx="7">
                  <c:v>154</c:v>
                </c:pt>
                <c:pt idx="8">
                  <c:v>-252</c:v>
                </c:pt>
              </c:numCache>
            </c:numRef>
          </c:val>
          <c:smooth val="0"/>
        </c:ser>
        <c:dLbls>
          <c:showLegendKey val="0"/>
          <c:showVal val="0"/>
          <c:showCatName val="0"/>
          <c:showSerName val="0"/>
          <c:showPercent val="0"/>
          <c:showBubbleSize val="0"/>
        </c:dLbls>
        <c:marker val="1"/>
        <c:smooth val="0"/>
        <c:axId val="1113628144"/>
        <c:axId val="1113639568"/>
      </c:lineChart>
      <c:catAx>
        <c:axId val="111362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13639568"/>
        <c:crosses val="autoZero"/>
        <c:auto val="1"/>
        <c:lblAlgn val="ctr"/>
        <c:lblOffset val="400"/>
        <c:noMultiLvlLbl val="0"/>
      </c:catAx>
      <c:valAx>
        <c:axId val="1113639568"/>
        <c:scaling>
          <c:orientation val="minMax"/>
        </c:scaling>
        <c:delete val="1"/>
        <c:axPos val="l"/>
        <c:numFmt formatCode="#,##0" sourceLinked="1"/>
        <c:majorTickMark val="none"/>
        <c:minorTickMark val="none"/>
        <c:tickLblPos val="nextTo"/>
        <c:crossAx val="1113628144"/>
        <c:crosses val="autoZero"/>
        <c:crossBetween val="between"/>
      </c:valAx>
      <c:spPr>
        <a:noFill/>
        <a:ln>
          <a:noFill/>
        </a:ln>
        <a:effectLst/>
      </c:spPr>
    </c:plotArea>
    <c:legend>
      <c:legendPos val="b"/>
      <c:layout>
        <c:manualLayout>
          <c:xMode val="edge"/>
          <c:yMode val="edge"/>
          <c:x val="0.13900969347655229"/>
          <c:y val="0.94276923734010198"/>
          <c:w val="0.65127416255851356"/>
          <c:h val="5.6022661057332966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noFill/>
      <a:round/>
    </a:ln>
    <a:effectLst/>
  </c:spPr>
  <c:txPr>
    <a:bodyPr/>
    <a:lstStyle/>
    <a:p>
      <a:pPr>
        <a:defRPr sz="700" baseline="0">
          <a:latin typeface="Calibri" panose="020F0502020204030204" pitchFamily="34"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i="0" u="none" strike="noStrike" baseline="0">
                <a:solidFill>
                  <a:schemeClr val="bg2">
                    <a:lumMod val="25000"/>
                  </a:schemeClr>
                </a:solidFill>
                <a:effectLst/>
              </a:rPr>
              <a:t>Объем кредитов на строительство и приобретения жилья, млрд.тенге</a:t>
            </a:r>
            <a:endParaRPr lang="ru-RU" sz="900" b="1">
              <a:solidFill>
                <a:schemeClr val="bg2">
                  <a:lumMod val="25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Лист1!$B$2:$B$8</c:f>
              <c:numCache>
                <c:formatCode>General</c:formatCode>
                <c:ptCount val="7"/>
                <c:pt idx="0">
                  <c:v>992</c:v>
                </c:pt>
                <c:pt idx="1">
                  <c:v>1030</c:v>
                </c:pt>
                <c:pt idx="2">
                  <c:v>1087</c:v>
                </c:pt>
                <c:pt idx="3">
                  <c:v>1214</c:v>
                </c:pt>
                <c:pt idx="4">
                  <c:v>1426</c:v>
                </c:pt>
                <c:pt idx="5">
                  <c:v>1882</c:v>
                </c:pt>
                <c:pt idx="6">
                  <c:v>2490</c:v>
                </c:pt>
              </c:numCache>
            </c:numRef>
          </c:val>
        </c:ser>
        <c:dLbls>
          <c:showLegendKey val="0"/>
          <c:showVal val="0"/>
          <c:showCatName val="0"/>
          <c:showSerName val="0"/>
          <c:showPercent val="0"/>
          <c:showBubbleSize val="0"/>
        </c:dLbls>
        <c:gapWidth val="184"/>
        <c:overlap val="-6"/>
        <c:axId val="1113631408"/>
        <c:axId val="1113640112"/>
      </c:barChart>
      <c:lineChart>
        <c:grouping val="standard"/>
        <c:varyColors val="0"/>
        <c:ser>
          <c:idx val="1"/>
          <c:order val="1"/>
          <c:tx>
            <c:strRef>
              <c:f>Лист1!$C$1</c:f>
              <c:strCache>
                <c:ptCount val="1"/>
                <c:pt idx="0">
                  <c:v>Жилстройсбербанк</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Лист1!$C$2:$C$8</c:f>
              <c:numCache>
                <c:formatCode>General</c:formatCode>
                <c:ptCount val="7"/>
                <c:pt idx="0">
                  <c:v>204</c:v>
                </c:pt>
                <c:pt idx="1">
                  <c:v>280</c:v>
                </c:pt>
                <c:pt idx="2">
                  <c:v>329</c:v>
                </c:pt>
                <c:pt idx="3">
                  <c:v>465</c:v>
                </c:pt>
                <c:pt idx="4">
                  <c:v>670</c:v>
                </c:pt>
                <c:pt idx="5">
                  <c:v>1004</c:v>
                </c:pt>
                <c:pt idx="6">
                  <c:v>1368</c:v>
                </c:pt>
              </c:numCache>
            </c:numRef>
          </c:val>
          <c:smooth val="0"/>
        </c:ser>
        <c:dLbls>
          <c:showLegendKey val="0"/>
          <c:showVal val="0"/>
          <c:showCatName val="0"/>
          <c:showSerName val="0"/>
          <c:showPercent val="0"/>
          <c:showBubbleSize val="0"/>
        </c:dLbls>
        <c:marker val="1"/>
        <c:smooth val="0"/>
        <c:axId val="1113631408"/>
        <c:axId val="1113640112"/>
      </c:lineChart>
      <c:catAx>
        <c:axId val="111363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40112"/>
        <c:crosses val="autoZero"/>
        <c:auto val="1"/>
        <c:lblAlgn val="ctr"/>
        <c:lblOffset val="100"/>
        <c:noMultiLvlLbl val="0"/>
      </c:catAx>
      <c:valAx>
        <c:axId val="1113640112"/>
        <c:scaling>
          <c:orientation val="minMax"/>
        </c:scaling>
        <c:delete val="1"/>
        <c:axPos val="l"/>
        <c:numFmt formatCode="General" sourceLinked="1"/>
        <c:majorTickMark val="none"/>
        <c:minorTickMark val="none"/>
        <c:tickLblPos val="nextTo"/>
        <c:crossAx val="111363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b="1"/>
              <a:t>Ввод в эксплуатацию жилых зданий, тыс. кв.м.</a:t>
            </a:r>
          </a:p>
        </c:rich>
      </c:tx>
      <c:layout/>
      <c:overlay val="0"/>
    </c:title>
    <c:autoTitleDeleted val="0"/>
    <c:plotArea>
      <c:layout/>
      <c:barChart>
        <c:barDir val="col"/>
        <c:grouping val="clustered"/>
        <c:varyColors val="0"/>
        <c:ser>
          <c:idx val="0"/>
          <c:order val="0"/>
          <c:tx>
            <c:strRef>
              <c:f>Лист1!$B$1</c:f>
              <c:strCache>
                <c:ptCount val="1"/>
                <c:pt idx="0">
                  <c:v>Ввод в эксплуатацию жилых зданий, тыс.кв.м.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tx>
                <c:rich>
                  <a:bodyPr/>
                  <a:lstStyle/>
                  <a:p>
                    <a:pPr>
                      <a:defRPr sz="899" b="0" i="0" u="none" strike="noStrike" baseline="0">
                        <a:solidFill>
                          <a:srgbClr val="000000"/>
                        </a:solidFill>
                        <a:latin typeface="Times New Roman"/>
                        <a:ea typeface="Times New Roman"/>
                        <a:cs typeface="Times New Roman"/>
                      </a:defRPr>
                    </a:pPr>
                    <a:r>
                      <a:rPr lang="en-US"/>
                      <a:t>6 531</a:t>
                    </a:r>
                  </a:p>
                </c:rich>
              </c:tx>
              <c:numFmt formatCode="#,##0" sourceLinked="0"/>
              <c:spPr>
                <a:noFill/>
                <a:ln w="25356">
                  <a:noFill/>
                </a:ln>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8"/>
              <c:layout>
                <c:manualLayout>
                  <c:x val="0"/>
                  <c:y val="-1.3245033112582863E-2"/>
                </c:manualLayout>
              </c:layout>
              <c:numFmt formatCode="#,##0" sourceLinked="0"/>
              <c:spPr>
                <a:noFill/>
                <a:ln w="25356">
                  <a:noFill/>
                </a:ln>
              </c:spPr>
              <c:txPr>
                <a:bodyPr/>
                <a:lstStyle/>
                <a:p>
                  <a:pPr>
                    <a:defRPr sz="8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5356">
                <a:noFill/>
              </a:ln>
            </c:spPr>
            <c:txPr>
              <a:bodyPr wrap="square" lIns="38100" tIns="19050" rIns="38100" bIns="19050" anchor="ctr">
                <a:spAutoFit/>
              </a:bodyPr>
              <a:lstStyle/>
              <a:p>
                <a:pPr>
                  <a:defRPr sz="8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Лист1!$A$2:$A$11</c:f>
              <c:strCache>
                <c:ptCount val="10"/>
                <c:pt idx="0">
                  <c:v>2011 год</c:v>
                </c:pt>
                <c:pt idx="1">
                  <c:v>2012 год</c:v>
                </c:pt>
                <c:pt idx="2">
                  <c:v>2013 год</c:v>
                </c:pt>
                <c:pt idx="3">
                  <c:v>2014 год</c:v>
                </c:pt>
                <c:pt idx="4">
                  <c:v>2015 год</c:v>
                </c:pt>
                <c:pt idx="5">
                  <c:v>2016 год</c:v>
                </c:pt>
                <c:pt idx="6">
                  <c:v>2017 год</c:v>
                </c:pt>
                <c:pt idx="7">
                  <c:v>2018 год</c:v>
                </c:pt>
                <c:pt idx="8">
                  <c:v>2019 год</c:v>
                </c:pt>
                <c:pt idx="9">
                  <c:v>2020 год</c:v>
                </c:pt>
              </c:strCache>
            </c:strRef>
          </c:cat>
          <c:val>
            <c:numRef>
              <c:f>Лист1!$B$2:$B$11</c:f>
              <c:numCache>
                <c:formatCode>_-* #\ ##0\ _₽_-;\-* #\ ##0\ _₽_-;_-* "-"??\ _₽_-;_-@_-</c:formatCode>
                <c:ptCount val="10"/>
                <c:pt idx="0">
                  <c:v>6531</c:v>
                </c:pt>
                <c:pt idx="1">
                  <c:v>6742</c:v>
                </c:pt>
                <c:pt idx="2">
                  <c:v>6844</c:v>
                </c:pt>
                <c:pt idx="3">
                  <c:v>7516</c:v>
                </c:pt>
                <c:pt idx="4">
                  <c:v>8940</c:v>
                </c:pt>
                <c:pt idx="5">
                  <c:v>10512.659</c:v>
                </c:pt>
                <c:pt idx="6">
                  <c:v>11168</c:v>
                </c:pt>
                <c:pt idx="7">
                  <c:v>12521</c:v>
                </c:pt>
                <c:pt idx="8">
                  <c:v>13134</c:v>
                </c:pt>
                <c:pt idx="9">
                  <c:v>15329</c:v>
                </c:pt>
              </c:numCache>
            </c:numRef>
          </c:val>
        </c:ser>
        <c:dLbls>
          <c:showLegendKey val="0"/>
          <c:showVal val="0"/>
          <c:showCatName val="0"/>
          <c:showSerName val="0"/>
          <c:showPercent val="0"/>
          <c:showBubbleSize val="0"/>
        </c:dLbls>
        <c:gapWidth val="59"/>
        <c:overlap val="1"/>
        <c:axId val="1113641744"/>
        <c:axId val="1113617808"/>
      </c:barChart>
      <c:catAx>
        <c:axId val="1113641744"/>
        <c:scaling>
          <c:orientation val="minMax"/>
        </c:scaling>
        <c:delete val="0"/>
        <c:axPos val="b"/>
        <c:numFmt formatCode="General" sourceLinked="1"/>
        <c:majorTickMark val="none"/>
        <c:minorTickMark val="none"/>
        <c:tickLblPos val="nextTo"/>
        <c:spPr>
          <a:noFill/>
          <a:ln w="9508" cap="flat" cmpd="sng" algn="ctr">
            <a:solidFill>
              <a:schemeClr val="tx2">
                <a:lumMod val="15000"/>
                <a:lumOff val="85000"/>
              </a:schemeClr>
            </a:solidFill>
            <a:round/>
          </a:ln>
          <a:effectLst/>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1113617808"/>
        <c:crosses val="autoZero"/>
        <c:auto val="1"/>
        <c:lblAlgn val="ctr"/>
        <c:lblOffset val="100"/>
        <c:noMultiLvlLbl val="0"/>
      </c:catAx>
      <c:valAx>
        <c:axId val="1113617808"/>
        <c:scaling>
          <c:orientation val="minMax"/>
        </c:scaling>
        <c:delete val="0"/>
        <c:axPos val="r"/>
        <c:numFmt formatCode="_-* #\ ##0\ _₽_-;\-* #\ ##0\ _₽_-;_-* &quot;-&quot;??\ _₽_-;_-@_-" sourceLinked="1"/>
        <c:majorTickMark val="none"/>
        <c:minorTickMark val="none"/>
        <c:tickLblPos val="nextTo"/>
        <c:spPr>
          <a:ln w="6339">
            <a:noFill/>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1113641744"/>
        <c:crosses val="max"/>
        <c:crossBetween val="between"/>
      </c:valAx>
      <c:spPr>
        <a:noFill/>
        <a:ln w="25366">
          <a:noFill/>
        </a:ln>
      </c:spPr>
    </c:plotArea>
    <c:legend>
      <c:legendPos val="b"/>
      <c:layout/>
      <c:overlay val="0"/>
      <c:spPr>
        <a:noFill/>
        <a:ln w="25356">
          <a:noFill/>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c:spPr>
  <c:txPr>
    <a:bodyPr/>
    <a:lstStyle/>
    <a:p>
      <a:pPr>
        <a:defRPr sz="799"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1000" b="1">
                <a:solidFill>
                  <a:sysClr val="windowText" lastClr="000000"/>
                </a:solidFill>
                <a:latin typeface="Candara" panose="020E0502030303020204" pitchFamily="34" charset="0"/>
              </a:rPr>
              <a:t>Объем выполненных строительных работ (млрд.тг</a:t>
            </a:r>
            <a:r>
              <a:rPr lang="ru-RU" sz="900" b="1">
                <a:solidFill>
                  <a:sysClr val="windowText" lastClr="000000"/>
                </a:solidFill>
                <a:latin typeface="Candara" panose="020E0502030303020204" pitchFamily="34" charset="0"/>
              </a:rPr>
              <a:t>)</a:t>
            </a:r>
          </a:p>
        </c:rich>
      </c:tx>
      <c:layout>
        <c:manualLayout>
          <c:xMode val="edge"/>
          <c:yMode val="edge"/>
          <c:x val="0.23959407733102689"/>
          <c:y val="3.9439333945589496E-2"/>
        </c:manualLayout>
      </c:layout>
      <c:overlay val="0"/>
      <c:spPr>
        <a:noFill/>
        <a:ln>
          <a:noFill/>
        </a:ln>
        <a:effectLst/>
      </c:spPr>
    </c:title>
    <c:autoTitleDeleted val="0"/>
    <c:plotArea>
      <c:layout>
        <c:manualLayout>
          <c:layoutTarget val="inner"/>
          <c:xMode val="edge"/>
          <c:yMode val="edge"/>
          <c:x val="1.5479876160990712E-2"/>
          <c:y val="0.19667199615315262"/>
          <c:w val="0.98452012383900933"/>
          <c:h val="0.68049912844863858"/>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Лист1!$B$2:$B$12</c:f>
              <c:numCache>
                <c:formatCode>#,##0</c:formatCode>
                <c:ptCount val="11"/>
                <c:pt idx="0">
                  <c:v>1918</c:v>
                </c:pt>
                <c:pt idx="1">
                  <c:v>2083</c:v>
                </c:pt>
                <c:pt idx="2">
                  <c:v>2262</c:v>
                </c:pt>
                <c:pt idx="3">
                  <c:v>2429</c:v>
                </c:pt>
                <c:pt idx="4">
                  <c:v>2738</c:v>
                </c:pt>
                <c:pt idx="5">
                  <c:v>2855</c:v>
                </c:pt>
                <c:pt idx="6">
                  <c:v>3233</c:v>
                </c:pt>
                <c:pt idx="7">
                  <c:v>3480.9</c:v>
                </c:pt>
                <c:pt idx="8">
                  <c:v>3843</c:v>
                </c:pt>
                <c:pt idx="9">
                  <c:v>4417</c:v>
                </c:pt>
                <c:pt idx="10">
                  <c:v>4919.8</c:v>
                </c:pt>
              </c:numCache>
            </c:numRef>
          </c:val>
        </c:ser>
        <c:dLbls>
          <c:dLblPos val="outEnd"/>
          <c:showLegendKey val="0"/>
          <c:showVal val="1"/>
          <c:showCatName val="0"/>
          <c:showSerName val="0"/>
          <c:showPercent val="0"/>
          <c:showBubbleSize val="0"/>
        </c:dLbls>
        <c:gapWidth val="219"/>
        <c:overlap val="-27"/>
        <c:axId val="1113618896"/>
        <c:axId val="1113642288"/>
      </c:barChart>
      <c:catAx>
        <c:axId val="111361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13642288"/>
        <c:crosses val="autoZero"/>
        <c:auto val="1"/>
        <c:lblAlgn val="ctr"/>
        <c:lblOffset val="100"/>
        <c:noMultiLvlLbl val="0"/>
      </c:catAx>
      <c:valAx>
        <c:axId val="1113642288"/>
        <c:scaling>
          <c:orientation val="minMax"/>
        </c:scaling>
        <c:delete val="1"/>
        <c:axPos val="l"/>
        <c:numFmt formatCode="#,##0" sourceLinked="1"/>
        <c:majorTickMark val="none"/>
        <c:minorTickMark val="none"/>
        <c:tickLblPos val="nextTo"/>
        <c:crossAx val="1113618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Инвестиции</a:t>
            </a:r>
            <a:r>
              <a:rPr lang="ru-RU" sz="1200" b="1" baseline="0"/>
              <a:t> в жилищное строительство(млрд. тг</a:t>
            </a:r>
            <a:endParaRPr lang="ru-RU" sz="12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Лист1!$A$27</c:f>
              <c:strCache>
                <c:ptCount val="1"/>
                <c:pt idx="0">
                  <c:v>Республика Казахстан</c:v>
                </c:pt>
              </c:strCache>
            </c:strRef>
          </c:tx>
          <c:spPr>
            <a:solidFill>
              <a:schemeClr val="tx2">
                <a:lumMod val="60000"/>
                <a:lumOff val="4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Лист1!$B$27:$H$27</c:f>
              <c:numCache>
                <c:formatCode>@</c:formatCode>
                <c:ptCount val="7"/>
                <c:pt idx="0">
                  <c:v>613</c:v>
                </c:pt>
                <c:pt idx="1">
                  <c:v>719</c:v>
                </c:pt>
                <c:pt idx="2">
                  <c:v>830</c:v>
                </c:pt>
                <c:pt idx="3">
                  <c:v>980</c:v>
                </c:pt>
                <c:pt idx="4">
                  <c:v>1162</c:v>
                </c:pt>
                <c:pt idx="5">
                  <c:v>1423</c:v>
                </c:pt>
                <c:pt idx="6">
                  <c:v>1968</c:v>
                </c:pt>
              </c:numCache>
            </c:numRef>
          </c:val>
        </c:ser>
        <c:ser>
          <c:idx val="1"/>
          <c:order val="1"/>
          <c:tx>
            <c:strRef>
              <c:f>Лист1!$A$28</c:f>
              <c:strCache>
                <c:ptCount val="1"/>
                <c:pt idx="0">
                  <c:v>г. Нур-Султан</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Лист1!$B$28:$H$28</c:f>
              <c:numCache>
                <c:formatCode>@</c:formatCode>
                <c:ptCount val="7"/>
                <c:pt idx="0">
                  <c:v>143</c:v>
                </c:pt>
                <c:pt idx="1">
                  <c:v>140</c:v>
                </c:pt>
                <c:pt idx="2">
                  <c:v>137</c:v>
                </c:pt>
                <c:pt idx="3">
                  <c:v>288</c:v>
                </c:pt>
                <c:pt idx="4">
                  <c:v>286</c:v>
                </c:pt>
                <c:pt idx="5">
                  <c:v>309</c:v>
                </c:pt>
                <c:pt idx="6">
                  <c:v>505</c:v>
                </c:pt>
              </c:numCache>
            </c:numRef>
          </c:val>
        </c:ser>
        <c:ser>
          <c:idx val="2"/>
          <c:order val="2"/>
          <c:tx>
            <c:strRef>
              <c:f>Лист1!$A$29</c:f>
              <c:strCache>
                <c:ptCount val="1"/>
                <c:pt idx="0">
                  <c:v>г. Алматы</c:v>
                </c:pt>
              </c:strCache>
            </c:strRef>
          </c:tx>
          <c:spPr>
            <a:solidFill>
              <a:schemeClr val="bg1">
                <a:lumMod val="65000"/>
              </a:schemeClr>
            </a:solidFill>
            <a:ln>
              <a:noFill/>
            </a:ln>
            <a:effectLst/>
          </c:spPr>
          <c:invertIfNegative val="0"/>
          <c:dLbls>
            <c:dLbl>
              <c:idx val="0"/>
              <c:layout>
                <c:manualLayout>
                  <c:x val="1.3888888888888888E-2"/>
                  <c:y val="3.24074074074073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1.3888888888888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628620102214651E-2"/>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Лист1!$B$29:$H$29</c:f>
              <c:numCache>
                <c:formatCode>@</c:formatCode>
                <c:ptCount val="7"/>
                <c:pt idx="0">
                  <c:v>129</c:v>
                </c:pt>
                <c:pt idx="1">
                  <c:v>143</c:v>
                </c:pt>
                <c:pt idx="2">
                  <c:v>168</c:v>
                </c:pt>
                <c:pt idx="3">
                  <c:v>140</c:v>
                </c:pt>
                <c:pt idx="4">
                  <c:v>177</c:v>
                </c:pt>
                <c:pt idx="5">
                  <c:v>243</c:v>
                </c:pt>
                <c:pt idx="6">
                  <c:v>401</c:v>
                </c:pt>
              </c:numCache>
            </c:numRef>
          </c:val>
        </c:ser>
        <c:dLbls>
          <c:showLegendKey val="0"/>
          <c:showVal val="0"/>
          <c:showCatName val="0"/>
          <c:showSerName val="0"/>
          <c:showPercent val="0"/>
          <c:showBubbleSize val="0"/>
        </c:dLbls>
        <c:gapWidth val="219"/>
        <c:overlap val="-27"/>
        <c:axId val="1113616176"/>
        <c:axId val="1113643920"/>
      </c:barChart>
      <c:catAx>
        <c:axId val="1113616176"/>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43920"/>
        <c:crosses val="autoZero"/>
        <c:auto val="1"/>
        <c:lblAlgn val="ctr"/>
        <c:lblOffset val="100"/>
        <c:noMultiLvlLbl val="0"/>
      </c:catAx>
      <c:valAx>
        <c:axId val="1113643920"/>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16176"/>
        <c:crosses val="autoZero"/>
        <c:crossBetween val="between"/>
        <c:majorUnit val="200"/>
        <c:min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effectLst/>
              </a:rPr>
              <a:t>Цены продажи нового жилья, тыс. тенге 1 кв. м.</a:t>
            </a:r>
            <a:endParaRPr lang="ru-RU" sz="12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Новое!$A$29</c:f>
              <c:strCache>
                <c:ptCount val="1"/>
                <c:pt idx="0">
                  <c:v>Республика Казахстан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5"/>
              <c:layout>
                <c:manualLayout>
                  <c:x val="-7.28589033186241E-17"/>
                  <c:y val="-8.2687325042247791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Новое!$B$29:$L$29</c:f>
              <c:numCache>
                <c:formatCode>0</c:formatCode>
                <c:ptCount val="11"/>
                <c:pt idx="0">
                  <c:v>143.90299999999999</c:v>
                </c:pt>
                <c:pt idx="1">
                  <c:v>154.12299999999999</c:v>
                </c:pt>
                <c:pt idx="2">
                  <c:v>172.77</c:v>
                </c:pt>
                <c:pt idx="3">
                  <c:v>189.124</c:v>
                </c:pt>
                <c:pt idx="4">
                  <c:v>215.53100000000001</c:v>
                </c:pt>
                <c:pt idx="5">
                  <c:v>257.64400000000001</c:v>
                </c:pt>
                <c:pt idx="6">
                  <c:v>247.364</c:v>
                </c:pt>
                <c:pt idx="7">
                  <c:v>253.24199999999999</c:v>
                </c:pt>
                <c:pt idx="8">
                  <c:v>266.863</c:v>
                </c:pt>
                <c:pt idx="9">
                  <c:v>293.51799999999997</c:v>
                </c:pt>
                <c:pt idx="10">
                  <c:v>307.60000000000002</c:v>
                </c:pt>
              </c:numCache>
            </c:numRef>
          </c:val>
          <c:smooth val="0"/>
        </c:ser>
        <c:ser>
          <c:idx val="1"/>
          <c:order val="1"/>
          <c:tx>
            <c:strRef>
              <c:f>Новое!$A$30</c:f>
              <c:strCache>
                <c:ptCount val="1"/>
                <c:pt idx="0">
                  <c:v>Нур-Султан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5.9612518628912071E-3"/>
                  <c:y val="-3.7209296269011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9612518628912071E-3"/>
                  <c:y val="-6.20154937816852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28589033186241E-17"/>
                  <c:y val="-3.30749300168988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4.9612395025348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5.78811275295729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4.54780287732358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987083954297069E-3"/>
                  <c:y val="-3.307493001689881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Новое!$B$30:$L$30</c:f>
              <c:numCache>
                <c:formatCode>0</c:formatCode>
                <c:ptCount val="11"/>
                <c:pt idx="0">
                  <c:v>178.70699999999999</c:v>
                </c:pt>
                <c:pt idx="1">
                  <c:v>182.28</c:v>
                </c:pt>
                <c:pt idx="2">
                  <c:v>217.44900000000001</c:v>
                </c:pt>
                <c:pt idx="3">
                  <c:v>259.81200000000001</c:v>
                </c:pt>
                <c:pt idx="4">
                  <c:v>296.20699999999999</c:v>
                </c:pt>
                <c:pt idx="5">
                  <c:v>335.476</c:v>
                </c:pt>
                <c:pt idx="6">
                  <c:v>338.49400000000003</c:v>
                </c:pt>
                <c:pt idx="7">
                  <c:v>324.09800000000001</c:v>
                </c:pt>
                <c:pt idx="8">
                  <c:v>340.70600000000002</c:v>
                </c:pt>
                <c:pt idx="9">
                  <c:v>373.65600000000001</c:v>
                </c:pt>
                <c:pt idx="10">
                  <c:v>392.68200000000002</c:v>
                </c:pt>
              </c:numCache>
            </c:numRef>
          </c:val>
          <c:smooth val="0"/>
        </c:ser>
        <c:ser>
          <c:idx val="2"/>
          <c:order val="2"/>
          <c:tx>
            <c:strRef>
              <c:f>Новое!$A$31</c:f>
              <c:strCache>
                <c:ptCount val="1"/>
                <c:pt idx="0">
                  <c:v>Алматы</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3.642945165931205E-17"/>
                  <c:y val="-5.78811275295730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28589033186241E-17"/>
                  <c:y val="2.480619751267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90958768007941E-2"/>
                  <c:y val="3.7209296269011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48061975126740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2.480619751267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894056376478646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Новое!$B$31:$L$31</c:f>
              <c:numCache>
                <c:formatCode>0</c:formatCode>
                <c:ptCount val="11"/>
                <c:pt idx="0">
                  <c:v>237.39099999999999</c:v>
                </c:pt>
                <c:pt idx="1">
                  <c:v>239.12899999999999</c:v>
                </c:pt>
                <c:pt idx="2">
                  <c:v>244.44300000000001</c:v>
                </c:pt>
                <c:pt idx="3">
                  <c:v>256.40499999999997</c:v>
                </c:pt>
                <c:pt idx="4">
                  <c:v>292.59800000000001</c:v>
                </c:pt>
                <c:pt idx="5">
                  <c:v>306.59300000000002</c:v>
                </c:pt>
                <c:pt idx="6">
                  <c:v>304.51100000000002</c:v>
                </c:pt>
                <c:pt idx="7">
                  <c:v>321.26600000000002</c:v>
                </c:pt>
                <c:pt idx="8">
                  <c:v>327.36700000000002</c:v>
                </c:pt>
                <c:pt idx="9">
                  <c:v>357.20800000000003</c:v>
                </c:pt>
                <c:pt idx="10">
                  <c:v>360.101</c:v>
                </c:pt>
              </c:numCache>
            </c:numRef>
          </c:val>
          <c:smooth val="0"/>
        </c:ser>
        <c:dLbls>
          <c:showLegendKey val="0"/>
          <c:showVal val="0"/>
          <c:showCatName val="0"/>
          <c:showSerName val="0"/>
          <c:showPercent val="0"/>
          <c:showBubbleSize val="0"/>
        </c:dLbls>
        <c:marker val="1"/>
        <c:smooth val="0"/>
        <c:axId val="1113644464"/>
        <c:axId val="1113622160"/>
      </c:lineChart>
      <c:catAx>
        <c:axId val="111364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22160"/>
        <c:crosses val="autoZero"/>
        <c:auto val="1"/>
        <c:lblAlgn val="ctr"/>
        <c:lblOffset val="100"/>
        <c:noMultiLvlLbl val="0"/>
      </c:catAx>
      <c:valAx>
        <c:axId val="1113622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44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effectLst/>
              </a:rPr>
              <a:t>Цены перепродажи благоустроенного жилья, тыс. тенге за 1 кв.м.</a:t>
            </a:r>
            <a:endParaRPr lang="ru-RU" sz="12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Благоустроенное!$A$28</c:f>
              <c:strCache>
                <c:ptCount val="1"/>
                <c:pt idx="0">
                  <c:v>Республика Казахстан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Благоустроенное!$B$28:$L$28</c:f>
              <c:numCache>
                <c:formatCode>0</c:formatCode>
                <c:ptCount val="11"/>
                <c:pt idx="0">
                  <c:v>105.964</c:v>
                </c:pt>
                <c:pt idx="1">
                  <c:v>110.54900000000001</c:v>
                </c:pt>
                <c:pt idx="2">
                  <c:v>129.13800000000001</c:v>
                </c:pt>
                <c:pt idx="3">
                  <c:v>147.38</c:v>
                </c:pt>
                <c:pt idx="4">
                  <c:v>173.298</c:v>
                </c:pt>
                <c:pt idx="5">
                  <c:v>189.99799999999999</c:v>
                </c:pt>
                <c:pt idx="6">
                  <c:v>188.601</c:v>
                </c:pt>
                <c:pt idx="7">
                  <c:v>185.66399999999999</c:v>
                </c:pt>
                <c:pt idx="8">
                  <c:v>185.965</c:v>
                </c:pt>
                <c:pt idx="9">
                  <c:v>200.37899999999999</c:v>
                </c:pt>
                <c:pt idx="10">
                  <c:v>228.21799999999999</c:v>
                </c:pt>
              </c:numCache>
            </c:numRef>
          </c:val>
          <c:smooth val="0"/>
        </c:ser>
        <c:ser>
          <c:idx val="1"/>
          <c:order val="1"/>
          <c:tx>
            <c:strRef>
              <c:f>Благоустроенное!$A$29</c:f>
              <c:strCache>
                <c:ptCount val="1"/>
                <c:pt idx="0">
                  <c:v>Нур-Султан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5.9912161920094089E-17"/>
                  <c:y val="-6.16332720020266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9912161920094089E-17"/>
                  <c:y val="-4.9306617601621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982432384018818E-16"/>
                  <c:y val="-6.57421568021617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6339869281046949E-3"/>
                  <c:y val="6.57421568021617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2679738562091504E-3"/>
                  <c:y val="6.16332720020266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Благоустроенное!$B$29:$L$29</c:f>
              <c:numCache>
                <c:formatCode>0</c:formatCode>
                <c:ptCount val="11"/>
                <c:pt idx="0">
                  <c:v>159.78800000000001</c:v>
                </c:pt>
                <c:pt idx="1">
                  <c:v>161.643</c:v>
                </c:pt>
                <c:pt idx="2">
                  <c:v>224.714</c:v>
                </c:pt>
                <c:pt idx="3">
                  <c:v>264.05900000000003</c:v>
                </c:pt>
                <c:pt idx="4">
                  <c:v>325.41199999999998</c:v>
                </c:pt>
                <c:pt idx="5">
                  <c:v>341.38900000000001</c:v>
                </c:pt>
                <c:pt idx="6">
                  <c:v>307.42200000000003</c:v>
                </c:pt>
                <c:pt idx="7">
                  <c:v>321.67700000000002</c:v>
                </c:pt>
                <c:pt idx="8">
                  <c:v>345.803</c:v>
                </c:pt>
                <c:pt idx="9">
                  <c:v>363.80200000000002</c:v>
                </c:pt>
                <c:pt idx="10">
                  <c:v>383.62599999999998</c:v>
                </c:pt>
              </c:numCache>
            </c:numRef>
          </c:val>
          <c:smooth val="0"/>
        </c:ser>
        <c:ser>
          <c:idx val="2"/>
          <c:order val="2"/>
          <c:tx>
            <c:strRef>
              <c:f>Благоустроенное!$A$30</c:f>
              <c:strCache>
                <c:ptCount val="1"/>
                <c:pt idx="0">
                  <c:v>Алматы</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layout>
                <c:manualLayout>
                  <c:x val="-1.1982432384018818E-16"/>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1982432384018818E-16"/>
                  <c:y val="-4.9306617601621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1982432384018818E-16"/>
                  <c:y val="-3.69799632012160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Благоустроенное!$B$30:$L$30</c:f>
              <c:numCache>
                <c:formatCode>0</c:formatCode>
                <c:ptCount val="11"/>
                <c:pt idx="0">
                  <c:v>197.13800000000001</c:v>
                </c:pt>
                <c:pt idx="1">
                  <c:v>203.92099999999999</c:v>
                </c:pt>
                <c:pt idx="2">
                  <c:v>207.89400000000001</c:v>
                </c:pt>
                <c:pt idx="3">
                  <c:v>244.45599999999999</c:v>
                </c:pt>
                <c:pt idx="4">
                  <c:v>287.41199999999998</c:v>
                </c:pt>
                <c:pt idx="5">
                  <c:v>350.642</c:v>
                </c:pt>
                <c:pt idx="6">
                  <c:v>337.34</c:v>
                </c:pt>
                <c:pt idx="7">
                  <c:v>339.99</c:v>
                </c:pt>
                <c:pt idx="8">
                  <c:v>344.32100000000003</c:v>
                </c:pt>
                <c:pt idx="9">
                  <c:v>366.63799999999998</c:v>
                </c:pt>
                <c:pt idx="10">
                  <c:v>371.36799999999999</c:v>
                </c:pt>
              </c:numCache>
            </c:numRef>
          </c:val>
          <c:smooth val="0"/>
        </c:ser>
        <c:dLbls>
          <c:showLegendKey val="0"/>
          <c:showVal val="0"/>
          <c:showCatName val="0"/>
          <c:showSerName val="0"/>
          <c:showPercent val="0"/>
          <c:showBubbleSize val="0"/>
        </c:dLbls>
        <c:marker val="1"/>
        <c:smooth val="0"/>
        <c:axId val="1113627056"/>
        <c:axId val="1113645008"/>
      </c:lineChart>
      <c:catAx>
        <c:axId val="111362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45008"/>
        <c:crosses val="autoZero"/>
        <c:auto val="1"/>
        <c:lblAlgn val="ctr"/>
        <c:lblOffset val="100"/>
        <c:noMultiLvlLbl val="0"/>
      </c:catAx>
      <c:valAx>
        <c:axId val="1113645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3627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C3D1-97B4-42C4-96DF-4518D36A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2662</Words>
  <Characters>15178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Габитов Тимур Маратович</dc:creator>
  <cp:keywords/>
  <dc:description/>
  <cp:lastModifiedBy>Габитов Тимур Маратович</cp:lastModifiedBy>
  <cp:revision>5</cp:revision>
  <cp:lastPrinted>2018-02-07T06:38:00Z</cp:lastPrinted>
  <dcterms:created xsi:type="dcterms:W3CDTF">2021-02-03T05:27:00Z</dcterms:created>
  <dcterms:modified xsi:type="dcterms:W3CDTF">2021-02-03T06:40:00Z</dcterms:modified>
</cp:coreProperties>
</file>