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4A" w:rsidRDefault="000E2A4A" w:rsidP="00B753BB">
      <w:pPr>
        <w:spacing w:line="360" w:lineRule="exact"/>
        <w:ind w:left="142"/>
      </w:pPr>
    </w:p>
    <w:p w:rsidR="00627DBF" w:rsidRDefault="00627DBF" w:rsidP="00B753BB">
      <w:pPr>
        <w:spacing w:line="360" w:lineRule="exact"/>
        <w:ind w:left="142"/>
      </w:pPr>
    </w:p>
    <w:p w:rsidR="000E2A4A" w:rsidRDefault="000E2A4A" w:rsidP="00B753BB">
      <w:pPr>
        <w:spacing w:line="1" w:lineRule="exact"/>
      </w:pPr>
    </w:p>
    <w:p w:rsidR="00627DBF" w:rsidRDefault="00627DBF" w:rsidP="00B753BB">
      <w:pPr>
        <w:spacing w:line="1" w:lineRule="exact"/>
      </w:pPr>
    </w:p>
    <w:p w:rsidR="00627DBF" w:rsidRDefault="00627DBF" w:rsidP="00B753BB">
      <w:pPr>
        <w:spacing w:line="1" w:lineRule="exact"/>
        <w:sectPr w:rsidR="00627DBF" w:rsidSect="00B753BB">
          <w:footerReference w:type="default" r:id="rId6"/>
          <w:pgSz w:w="12677" w:h="18942"/>
          <w:pgMar w:top="245" w:right="628" w:bottom="400" w:left="709" w:header="0" w:footer="3" w:gutter="0"/>
          <w:pgNumType w:start="1"/>
          <w:cols w:space="720"/>
          <w:noEndnote/>
          <w:docGrid w:linePitch="360"/>
        </w:sectPr>
      </w:pPr>
    </w:p>
    <w:p w:rsidR="000E2A4A" w:rsidRDefault="000E2A4A" w:rsidP="00B753BB">
      <w:pPr>
        <w:spacing w:line="159" w:lineRule="exact"/>
        <w:rPr>
          <w:sz w:val="13"/>
          <w:szCs w:val="13"/>
        </w:rPr>
      </w:pPr>
    </w:p>
    <w:p w:rsidR="000E2A4A" w:rsidRDefault="000E2A4A" w:rsidP="00B753BB">
      <w:pPr>
        <w:spacing w:line="1" w:lineRule="exact"/>
        <w:ind w:left="142"/>
        <w:sectPr w:rsidR="000E2A4A" w:rsidSect="00B753BB">
          <w:type w:val="continuous"/>
          <w:pgSz w:w="12677" w:h="18942"/>
          <w:pgMar w:top="245" w:right="628" w:bottom="300" w:left="709" w:header="0" w:footer="3" w:gutter="0"/>
          <w:cols w:space="720"/>
          <w:noEndnote/>
          <w:docGrid w:linePitch="360"/>
        </w:sectPr>
      </w:pPr>
    </w:p>
    <w:p w:rsidR="00627DBF" w:rsidRPr="00627DBF" w:rsidRDefault="00627DBF" w:rsidP="00627DBF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r w:rsidRPr="00627D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  <w:lastRenderedPageBreak/>
        <w:t xml:space="preserve">AGENCY OF THE REPUBLIC OF KAZAKHSTAN FOR REGULATION AND </w:t>
      </w:r>
      <w:r w:rsidRPr="00627DB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  <w:br/>
        <w:t>DEVELOPMENT OF THE FINANCIAL MARKET</w:t>
      </w:r>
      <w:r w:rsidR="00250CC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</w:p>
    <w:p w:rsidR="000E2A4A" w:rsidRPr="00627DBF" w:rsidRDefault="00627DBF" w:rsidP="00627DBF">
      <w:pPr>
        <w:spacing w:after="60"/>
        <w:jc w:val="center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eastAsia="en-US"/>
        </w:rPr>
      </w:pPr>
      <w:r w:rsidRPr="00627DBF"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eastAsia="en-US"/>
        </w:rPr>
        <w:t>LICENSE</w:t>
      </w:r>
    </w:p>
    <w:p w:rsidR="000E2A4A" w:rsidRPr="00627DBF" w:rsidRDefault="008D1FD1" w:rsidP="00B753BB">
      <w:pPr>
        <w:pStyle w:val="1"/>
        <w:spacing w:after="560"/>
        <w:ind w:left="142"/>
        <w:jc w:val="center"/>
        <w:rPr>
          <w:color w:val="auto"/>
        </w:rPr>
      </w:pPr>
      <w:r w:rsidRPr="00627DBF">
        <w:rPr>
          <w:rStyle w:val="a3"/>
          <w:color w:val="auto"/>
        </w:rPr>
        <w:t xml:space="preserve">to conduct banking and other operations provided for by </w:t>
      </w:r>
      <w:r w:rsidRPr="00627DBF">
        <w:rPr>
          <w:rStyle w:val="a3"/>
          <w:color w:val="auto"/>
        </w:rPr>
        <w:br/>
        <w:t>the banking legislation of the Republic of Kazakhstan</w:t>
      </w:r>
    </w:p>
    <w:p w:rsidR="000E2A4A" w:rsidRPr="00250CCD" w:rsidRDefault="008D1FD1" w:rsidP="00B753BB">
      <w:pPr>
        <w:pStyle w:val="1"/>
        <w:spacing w:after="420"/>
        <w:ind w:left="142" w:right="180"/>
        <w:jc w:val="right"/>
        <w:rPr>
          <w:color w:val="auto"/>
        </w:rPr>
      </w:pPr>
      <w:r w:rsidRPr="00250CCD">
        <w:rPr>
          <w:noProof/>
          <w:color w:val="auto"/>
          <w:lang w:val="ru-RU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0A09C28" wp14:editId="6C939381">
                <wp:simplePos x="0" y="0"/>
                <wp:positionH relativeFrom="margin">
                  <wp:posOffset>104775</wp:posOffset>
                </wp:positionH>
                <wp:positionV relativeFrom="paragraph">
                  <wp:posOffset>12700</wp:posOffset>
                </wp:positionV>
                <wp:extent cx="1932305" cy="19812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2A4A" w:rsidRPr="00250CCD" w:rsidRDefault="0079174C">
                            <w:pPr>
                              <w:pStyle w:val="1"/>
                              <w:rPr>
                                <w:color w:val="auto"/>
                              </w:rPr>
                            </w:pPr>
                            <w:r w:rsidRPr="0079174C">
                              <w:rPr>
                                <w:rStyle w:val="a3"/>
                                <w:color w:val="auto"/>
                              </w:rPr>
                              <w:t xml:space="preserve">License number </w:t>
                            </w:r>
                            <w:r w:rsidR="008D1FD1" w:rsidRPr="00250CCD">
                              <w:rPr>
                                <w:rStyle w:val="a3"/>
                                <w:color w:val="auto"/>
                              </w:rPr>
                              <w:t>№ 1</w:t>
                            </w:r>
                            <w:r w:rsidR="00B753BB" w:rsidRPr="00250CCD">
                              <w:rPr>
                                <w:rStyle w:val="a3"/>
                                <w:color w:val="auto"/>
                              </w:rPr>
                              <w:t>.1.1</w:t>
                            </w:r>
                            <w:r w:rsidR="008D1FD1" w:rsidRPr="00250CCD">
                              <w:rPr>
                                <w:rStyle w:val="a3"/>
                                <w:color w:val="auto"/>
                              </w:rPr>
                              <w:t>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A09C2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.25pt;margin-top:1pt;width:152.15pt;height:15.6pt;z-index:12582937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" filled="f" stroked="f">
                <v:textbox inset="0,0,0,0">
                  <w:txbxContent>
                    <w:p w:rsidR="000E2A4A" w:rsidRPr="00250CCD" w:rsidRDefault="0079174C">
                      <w:pPr>
                        <w:pStyle w:val="1"/>
                        <w:rPr>
                          <w:color w:val="auto"/>
                        </w:rPr>
                      </w:pPr>
                      <w:r w:rsidRPr="0079174C">
                        <w:rPr>
                          <w:rStyle w:val="a3"/>
                          <w:color w:val="auto"/>
                        </w:rPr>
                        <w:t xml:space="preserve">License number </w:t>
                      </w:r>
                      <w:r w:rsidR="008D1FD1" w:rsidRPr="00250CCD">
                        <w:rPr>
                          <w:rStyle w:val="a3"/>
                          <w:color w:val="auto"/>
                        </w:rPr>
                        <w:t>№ 1</w:t>
                      </w:r>
                      <w:r w:rsidR="00B753BB" w:rsidRPr="00250CCD">
                        <w:rPr>
                          <w:rStyle w:val="a3"/>
                          <w:color w:val="auto"/>
                        </w:rPr>
                        <w:t>.1.1</w:t>
                      </w:r>
                      <w:r w:rsidR="008D1FD1" w:rsidRPr="00250CCD">
                        <w:rPr>
                          <w:rStyle w:val="a3"/>
                          <w:color w:val="auto"/>
                        </w:rPr>
                        <w:t>11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250CCD">
        <w:rPr>
          <w:rStyle w:val="a3"/>
          <w:color w:val="auto"/>
        </w:rPr>
        <w:t>Issue date: April 29, 2024</w:t>
      </w:r>
    </w:p>
    <w:p w:rsidR="000E2A4A" w:rsidRPr="00EA0383" w:rsidRDefault="00EA0383" w:rsidP="00B753BB">
      <w:pPr>
        <w:pStyle w:val="1"/>
        <w:spacing w:after="420"/>
        <w:ind w:left="142"/>
        <w:rPr>
          <w:color w:val="auto"/>
          <w:lang w:val="kk-KZ"/>
        </w:rPr>
      </w:pPr>
      <w:r w:rsidRPr="00EA0383">
        <w:rPr>
          <w:rStyle w:val="a3"/>
          <w:color w:val="auto"/>
          <w:lang w:val="ru-RU"/>
        </w:rPr>
        <w:t xml:space="preserve">                             </w:t>
      </w:r>
      <w:r w:rsidR="00250CCD" w:rsidRPr="00EA0383">
        <w:rPr>
          <w:rStyle w:val="a3"/>
          <w:color w:val="auto"/>
        </w:rPr>
        <w:t xml:space="preserve">Joint Stock Company </w:t>
      </w:r>
      <w:r w:rsidR="0079174C" w:rsidRPr="00EA0383">
        <w:rPr>
          <w:rStyle w:val="a3"/>
          <w:color w:val="auto"/>
          <w:lang w:val="kk-KZ"/>
        </w:rPr>
        <w:t>«</w:t>
      </w:r>
      <w:r w:rsidR="00250CCD" w:rsidRPr="00EA0383">
        <w:rPr>
          <w:rStyle w:val="a3"/>
          <w:color w:val="auto"/>
        </w:rPr>
        <w:t xml:space="preserve">Housing Construction Savings Bank </w:t>
      </w:r>
      <w:r w:rsidR="0079174C" w:rsidRPr="00EA0383">
        <w:rPr>
          <w:rStyle w:val="a3"/>
          <w:color w:val="auto"/>
          <w:lang w:val="kk-KZ" w:eastAsia="kk-KZ"/>
        </w:rPr>
        <w:t>«</w:t>
      </w:r>
      <w:r w:rsidR="008D1FD1" w:rsidRPr="00EA0383">
        <w:rPr>
          <w:rStyle w:val="a3"/>
          <w:color w:val="auto"/>
          <w:lang w:val="kk-KZ" w:eastAsia="kk-KZ"/>
        </w:rPr>
        <w:t xml:space="preserve">Otbasy </w:t>
      </w:r>
      <w:r w:rsidR="008D1FD1" w:rsidRPr="00EA0383">
        <w:rPr>
          <w:rStyle w:val="a3"/>
          <w:color w:val="auto"/>
        </w:rPr>
        <w:t>Bank</w:t>
      </w:r>
      <w:r w:rsidR="0079174C" w:rsidRPr="00EA0383">
        <w:rPr>
          <w:rStyle w:val="a3"/>
          <w:color w:val="auto"/>
          <w:lang w:val="kk-KZ"/>
        </w:rPr>
        <w:t>»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  <w:b/>
          <w:bCs/>
          <w:color w:val="5B5D5F"/>
        </w:rPr>
        <w:t>This license grants the right to carry out the following types of operations:</w:t>
      </w:r>
    </w:p>
    <w:p w:rsidR="000E2A4A" w:rsidRPr="00250CCD" w:rsidRDefault="008D1FD1" w:rsidP="00B753BB">
      <w:pPr>
        <w:pStyle w:val="1"/>
        <w:ind w:left="142"/>
        <w:jc w:val="both"/>
        <w:rPr>
          <w:color w:val="auto"/>
        </w:rPr>
      </w:pPr>
      <w:r w:rsidRPr="00250CCD">
        <w:rPr>
          <w:rStyle w:val="a3"/>
          <w:color w:val="auto"/>
        </w:rPr>
        <w:t>banking operations in national currency: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 xml:space="preserve">accepting deposits </w:t>
      </w:r>
      <w:r>
        <w:rPr>
          <w:rStyle w:val="a3"/>
          <w:color w:val="5B5D5F"/>
        </w:rPr>
        <w:t xml:space="preserve">into </w:t>
      </w:r>
      <w:r>
        <w:rPr>
          <w:rStyle w:val="a3"/>
        </w:rPr>
        <w:t>housing construction savings, opening and maintaining depositor accounts;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>provision of housing, intermediate housing and preliminary housing loans to investors for the implementation of measures to improve housing conditions;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>opening and maintaining current bank accounts of individuals for the transfer of lump-sum pension payments for the purpose of improving housing conditions;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>opening and maintaining current bank accounts of individuals for the purpose of crediting payments and subsidies for the purpose of paying for rented housing in the private housing stock;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>accepting deposits, opening and maintaining bank accounts of individuals for participation in the state educational savings system;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  <w:color w:val="5B5D5F"/>
        </w:rPr>
        <w:t>banking operations (in national and (or) foreign currency):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 xml:space="preserve">cash transactions: acceptance and issuance of cash, including their exchange, change, counting, </w:t>
      </w:r>
      <w:r>
        <w:rPr>
          <w:rStyle w:val="a3"/>
          <w:color w:val="8E9494"/>
        </w:rPr>
        <w:t xml:space="preserve">sorting, packaging </w:t>
      </w:r>
      <w:r>
        <w:rPr>
          <w:rStyle w:val="a3"/>
        </w:rPr>
        <w:t>and storage: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 xml:space="preserve">transfer operations - execution of orders from individuals </w:t>
      </w:r>
      <w:r>
        <w:rPr>
          <w:rStyle w:val="a3"/>
          <w:color w:val="5B5D5F"/>
        </w:rPr>
        <w:t xml:space="preserve">and </w:t>
      </w:r>
      <w:r>
        <w:rPr>
          <w:rStyle w:val="a3"/>
        </w:rPr>
        <w:t xml:space="preserve">legal entities for payments and money transfers: exchange operations </w:t>
      </w:r>
      <w:r>
        <w:rPr>
          <w:rStyle w:val="a3"/>
          <w:color w:val="5B5D5F"/>
        </w:rPr>
        <w:t xml:space="preserve">with </w:t>
      </w:r>
      <w:r>
        <w:rPr>
          <w:rStyle w:val="a3"/>
        </w:rPr>
        <w:t>foreign currency;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 xml:space="preserve">accepting deposits, opening </w:t>
      </w:r>
      <w:r>
        <w:rPr>
          <w:rStyle w:val="a3"/>
          <w:color w:val="5B5D5F"/>
        </w:rPr>
        <w:t xml:space="preserve">and </w:t>
      </w:r>
      <w:r>
        <w:rPr>
          <w:rStyle w:val="a3"/>
        </w:rPr>
        <w:t xml:space="preserve">maintaining bank accounts for legal </w:t>
      </w:r>
      <w:r>
        <w:rPr>
          <w:rStyle w:val="a3"/>
          <w:color w:val="8E9494"/>
        </w:rPr>
        <w:t>entities;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>opening and maintaining current bank accounts of individuals for the crediting of one-time pension payments for the purpose of paying for treatment;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 xml:space="preserve">opening </w:t>
      </w:r>
      <w:r>
        <w:rPr>
          <w:rStyle w:val="a3"/>
          <w:color w:val="5B5D5F"/>
        </w:rPr>
        <w:t xml:space="preserve">and </w:t>
      </w:r>
      <w:r>
        <w:rPr>
          <w:rStyle w:val="a3"/>
        </w:rPr>
        <w:t xml:space="preserve">maintaining current accounts of individuals intended for the transfer of </w:t>
      </w:r>
      <w:r>
        <w:rPr>
          <w:rStyle w:val="a3"/>
          <w:color w:val="8E9494"/>
        </w:rPr>
        <w:t xml:space="preserve">payments of </w:t>
      </w:r>
      <w:r>
        <w:rPr>
          <w:rStyle w:val="a3"/>
        </w:rPr>
        <w:t>target savings for the purpose of improving housing conditions and/or paying for education;</w:t>
      </w:r>
    </w:p>
    <w:p w:rsidR="000E2A4A" w:rsidRPr="00B753BB" w:rsidRDefault="008D1FD1" w:rsidP="00B753BB">
      <w:pPr>
        <w:pStyle w:val="1"/>
        <w:ind w:left="142"/>
        <w:jc w:val="both"/>
        <w:rPr>
          <w:b/>
        </w:rPr>
      </w:pPr>
      <w:r w:rsidRPr="00B753BB">
        <w:rPr>
          <w:rStyle w:val="a3"/>
          <w:b/>
          <w:color w:val="5B5D5F"/>
        </w:rPr>
        <w:t>other operations provided for by the banking legislation of the Republic of Kazakhstan (in national and (or) foreign currency):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>issue of own securities (except shares);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>trust operations: management of rights of claim on mortgage loans in the interests and on behalf of the principal;</w:t>
      </w:r>
    </w:p>
    <w:p w:rsidR="000E2A4A" w:rsidRDefault="008D1FD1" w:rsidP="00B753BB">
      <w:pPr>
        <w:pStyle w:val="1"/>
        <w:ind w:left="142"/>
        <w:jc w:val="both"/>
      </w:pPr>
      <w:r>
        <w:rPr>
          <w:rStyle w:val="a3"/>
        </w:rPr>
        <w:t xml:space="preserve">trust operations for managing money in the interests </w:t>
      </w:r>
      <w:r>
        <w:rPr>
          <w:rStyle w:val="a3"/>
          <w:color w:val="5B5D5F"/>
        </w:rPr>
        <w:t xml:space="preserve">and </w:t>
      </w:r>
      <w:r>
        <w:rPr>
          <w:rStyle w:val="a3"/>
        </w:rPr>
        <w:t xml:space="preserve">on behalf of the principal </w:t>
      </w:r>
      <w:r>
        <w:rPr>
          <w:rStyle w:val="a3"/>
          <w:color w:val="8E9494"/>
        </w:rPr>
        <w:t xml:space="preserve">for </w:t>
      </w:r>
      <w:r>
        <w:rPr>
          <w:rStyle w:val="a3"/>
        </w:rPr>
        <w:t xml:space="preserve">the transfer of payments and subsidies for the purpose of paying for rented housing </w:t>
      </w:r>
      <w:r>
        <w:rPr>
          <w:rStyle w:val="a3"/>
          <w:color w:val="5B5D5F"/>
        </w:rPr>
        <w:t xml:space="preserve">in </w:t>
      </w:r>
      <w:r>
        <w:rPr>
          <w:rStyle w:val="a3"/>
        </w:rPr>
        <w:t xml:space="preserve">the private housing stock </w:t>
      </w:r>
      <w:r>
        <w:rPr>
          <w:rStyle w:val="a3"/>
          <w:color w:val="5B5D5F"/>
        </w:rPr>
        <w:t xml:space="preserve">and </w:t>
      </w:r>
      <w:r>
        <w:rPr>
          <w:rStyle w:val="a3"/>
        </w:rPr>
        <w:t xml:space="preserve">providing social support measures to specialists in the fields of healthcare, education, social </w:t>
      </w:r>
      <w:r>
        <w:rPr>
          <w:rStyle w:val="a3"/>
          <w:color w:val="8E9494"/>
        </w:rPr>
        <w:t xml:space="preserve">security, </w:t>
      </w:r>
      <w:r>
        <w:rPr>
          <w:rStyle w:val="a3"/>
        </w:rPr>
        <w:t xml:space="preserve">culture, agriculture </w:t>
      </w:r>
      <w:r>
        <w:rPr>
          <w:rStyle w:val="a3"/>
          <w:color w:val="5B5D5F"/>
        </w:rPr>
        <w:t xml:space="preserve">and </w:t>
      </w:r>
      <w:r>
        <w:rPr>
          <w:rStyle w:val="a3"/>
        </w:rPr>
        <w:t xml:space="preserve">the agro-industrial complex, civil servants </w:t>
      </w:r>
      <w:r>
        <w:rPr>
          <w:rStyle w:val="a3"/>
          <w:color w:val="8E9494"/>
        </w:rPr>
        <w:t xml:space="preserve">of the apparatus </w:t>
      </w:r>
      <w:r>
        <w:rPr>
          <w:rStyle w:val="a3"/>
        </w:rPr>
        <w:t xml:space="preserve">of akims of </w:t>
      </w:r>
      <w:r>
        <w:rPr>
          <w:rStyle w:val="a3"/>
          <w:color w:val="8E9494"/>
        </w:rPr>
        <w:t xml:space="preserve">villages, settlements, </w:t>
      </w:r>
      <w:r>
        <w:rPr>
          <w:rStyle w:val="a3"/>
        </w:rPr>
        <w:t>rural districts, who have arrived to work and live in rural settlements;</w:t>
      </w:r>
    </w:p>
    <w:p w:rsidR="000E2A4A" w:rsidRDefault="008D1FD1" w:rsidP="00B753BB">
      <w:pPr>
        <w:pStyle w:val="1"/>
        <w:ind w:left="142"/>
        <w:jc w:val="both"/>
        <w:rPr>
          <w:rStyle w:val="a3"/>
        </w:rPr>
      </w:pPr>
      <w:r>
        <w:rPr>
          <w:rStyle w:val="a3"/>
        </w:rPr>
        <w:t xml:space="preserve">trust operations for managing money in the interests and on behalf of </w:t>
      </w:r>
      <w:r>
        <w:rPr>
          <w:rStyle w:val="a3"/>
          <w:color w:val="8E9494"/>
        </w:rPr>
        <w:t xml:space="preserve">the principal </w:t>
      </w:r>
      <w:r>
        <w:rPr>
          <w:rStyle w:val="a3"/>
        </w:rPr>
        <w:t xml:space="preserve">within </w:t>
      </w:r>
      <w:r>
        <w:rPr>
          <w:rStyle w:val="a3"/>
          <w:color w:val="8E9494"/>
        </w:rPr>
        <w:t xml:space="preserve">the framework of the state </w:t>
      </w:r>
      <w:r>
        <w:rPr>
          <w:rStyle w:val="a3"/>
        </w:rPr>
        <w:t>educational savings system.</w:t>
      </w:r>
    </w:p>
    <w:p w:rsidR="006A4AFD" w:rsidRDefault="006A4AFD" w:rsidP="006A4AFD">
      <w:pPr>
        <w:pStyle w:val="1"/>
        <w:jc w:val="both"/>
        <w:sectPr w:rsidR="006A4AFD" w:rsidSect="00B753BB">
          <w:type w:val="continuous"/>
          <w:pgSz w:w="12677" w:h="18942"/>
          <w:pgMar w:top="245" w:right="628" w:bottom="300" w:left="709" w:header="0" w:footer="3" w:gutter="0"/>
          <w:cols w:space="720"/>
          <w:noEndnote/>
          <w:docGrid w:linePitch="360"/>
        </w:sectPr>
      </w:pPr>
    </w:p>
    <w:p w:rsidR="000E2A4A" w:rsidRDefault="000E2A4A" w:rsidP="00B753BB">
      <w:pPr>
        <w:spacing w:line="219" w:lineRule="exact"/>
        <w:ind w:left="142"/>
        <w:rPr>
          <w:sz w:val="18"/>
          <w:szCs w:val="18"/>
        </w:rPr>
      </w:pPr>
    </w:p>
    <w:p w:rsidR="006A4AFD" w:rsidRPr="00B753BB" w:rsidRDefault="006A4AFD" w:rsidP="006A4AFD">
      <w:pPr>
        <w:ind w:left="142"/>
        <w:rPr>
          <w:rFonts w:ascii="Times New Roman" w:eastAsia="Times New Roman" w:hAnsi="Times New Roman" w:cs="Times New Roman"/>
          <w:color w:val="787A7B"/>
          <w:lang w:val="kk-KZ"/>
        </w:rPr>
      </w:pPr>
      <w:r w:rsidRPr="00B753BB">
        <w:rPr>
          <w:rFonts w:ascii="Times New Roman" w:eastAsia="Times New Roman" w:hAnsi="Times New Roman" w:cs="Times New Roman"/>
          <w:b/>
          <w:color w:val="5B5D5F"/>
        </w:rPr>
        <w:t xml:space="preserve">Information about the license received for the first time: </w:t>
      </w:r>
      <w:r>
        <w:rPr>
          <w:rFonts w:ascii="Times New Roman" w:eastAsia="Times New Roman" w:hAnsi="Times New Roman" w:cs="Times New Roman"/>
          <w:color w:val="8E9494"/>
          <w:lang w:val="kk-KZ"/>
        </w:rPr>
        <w:t xml:space="preserve">for </w:t>
      </w:r>
      <w:r w:rsidRPr="00B753BB">
        <w:rPr>
          <w:rFonts w:ascii="Times New Roman" w:eastAsia="Times New Roman" w:hAnsi="Times New Roman" w:cs="Times New Roman"/>
          <w:color w:val="5B5D5F"/>
        </w:rPr>
        <w:t xml:space="preserve">conducting banking and other </w:t>
      </w:r>
      <w:r>
        <w:rPr>
          <w:rFonts w:ascii="Times New Roman" w:eastAsia="Times New Roman" w:hAnsi="Times New Roman" w:cs="Times New Roman"/>
          <w:color w:val="8E9494"/>
        </w:rPr>
        <w:t xml:space="preserve">operations </w:t>
      </w:r>
      <w:r w:rsidRPr="00B753BB">
        <w:rPr>
          <w:rFonts w:ascii="Times New Roman" w:eastAsia="Times New Roman" w:hAnsi="Times New Roman" w:cs="Times New Roman"/>
          <w:color w:val="8E9494"/>
          <w:lang w:val="kk-KZ"/>
        </w:rPr>
        <w:t xml:space="preserve">carried </w:t>
      </w:r>
      <w:r w:rsidRPr="00B753BB">
        <w:rPr>
          <w:rFonts w:ascii="Times New Roman" w:eastAsia="Times New Roman" w:hAnsi="Times New Roman" w:cs="Times New Roman"/>
          <w:color w:val="8E9494"/>
        </w:rPr>
        <w:t>out</w:t>
      </w:r>
    </w:p>
    <w:p w:rsidR="006A4AFD" w:rsidRPr="00B753BB" w:rsidRDefault="006A4AFD" w:rsidP="006A4AFD">
      <w:pPr>
        <w:ind w:left="142"/>
        <w:rPr>
          <w:rFonts w:ascii="Times New Roman" w:eastAsia="Times New Roman" w:hAnsi="Times New Roman" w:cs="Times New Roman"/>
          <w:color w:val="787A7B"/>
        </w:rPr>
      </w:pPr>
      <w:r w:rsidRPr="00B753BB">
        <w:rPr>
          <w:rFonts w:ascii="Times New Roman" w:eastAsia="Times New Roman" w:hAnsi="Times New Roman" w:cs="Times New Roman"/>
          <w:color w:val="787A7B"/>
          <w:lang w:eastAsia="en-US"/>
        </w:rPr>
        <w:t xml:space="preserve">banks, in national and foreign currency: </w:t>
      </w:r>
      <w:r w:rsidRPr="0079174C">
        <w:rPr>
          <w:rFonts w:ascii="Times New Roman" w:eastAsia="Times New Roman" w:hAnsi="Times New Roman" w:cs="Times New Roman"/>
          <w:color w:val="787A7B"/>
          <w:lang w:val="ru-RU"/>
        </w:rPr>
        <w:t xml:space="preserve">№ </w:t>
      </w:r>
      <w:r w:rsidRPr="00B753BB">
        <w:rPr>
          <w:rFonts w:ascii="Times New Roman" w:eastAsia="Times New Roman" w:hAnsi="Times New Roman" w:cs="Times New Roman"/>
          <w:color w:val="787A7B"/>
        </w:rPr>
        <w:t xml:space="preserve">254 </w:t>
      </w:r>
      <w:r>
        <w:rPr>
          <w:rFonts w:ascii="Times New Roman" w:eastAsia="Times New Roman" w:hAnsi="Times New Roman" w:cs="Times New Roman"/>
          <w:color w:val="787A7B"/>
        </w:rPr>
        <w:t xml:space="preserve">of </w:t>
      </w:r>
      <w:r>
        <w:rPr>
          <w:rFonts w:ascii="Times New Roman" w:eastAsia="Times New Roman" w:hAnsi="Times New Roman" w:cs="Times New Roman"/>
          <w:color w:val="787A7B"/>
          <w:lang w:val="kk-KZ"/>
        </w:rPr>
        <w:t>15.09.2003</w:t>
      </w:r>
      <w:r w:rsidRPr="00B753BB">
        <w:rPr>
          <w:rFonts w:ascii="Times New Roman" w:eastAsia="Times New Roman" w:hAnsi="Times New Roman" w:cs="Times New Roman"/>
          <w:color w:val="787A7B"/>
          <w:lang w:val="kk-KZ"/>
        </w:rPr>
        <w:t xml:space="preserve"> </w:t>
      </w:r>
      <w:r w:rsidRPr="00B753BB">
        <w:rPr>
          <w:rFonts w:ascii="Times New Roman" w:eastAsia="Times New Roman" w:hAnsi="Times New Roman" w:cs="Times New Roman"/>
          <w:color w:val="8E9494"/>
          <w:lang w:eastAsia="en-US"/>
        </w:rPr>
        <w:t xml:space="preserve">issued by </w:t>
      </w:r>
      <w:r w:rsidRPr="00B753BB">
        <w:rPr>
          <w:rFonts w:ascii="Times New Roman" w:eastAsia="Times New Roman" w:hAnsi="Times New Roman" w:cs="Times New Roman"/>
          <w:color w:val="8E9494"/>
          <w:lang w:val="kk-KZ" w:eastAsia="en-US"/>
        </w:rPr>
        <w:t xml:space="preserve">the National Bank </w:t>
      </w:r>
      <w:r w:rsidRPr="00B753BB">
        <w:rPr>
          <w:rFonts w:ascii="Times New Roman" w:eastAsia="Times New Roman" w:hAnsi="Times New Roman" w:cs="Times New Roman"/>
          <w:color w:val="787A7B"/>
        </w:rPr>
        <w:t>of the Republic of Kazakhstan.</w:t>
      </w:r>
    </w:p>
    <w:p w:rsidR="000E2A4A" w:rsidRDefault="000E2A4A" w:rsidP="00B753BB">
      <w:pPr>
        <w:spacing w:line="1" w:lineRule="exact"/>
        <w:ind w:left="142"/>
        <w:sectPr w:rsidR="000E2A4A" w:rsidSect="00B753BB">
          <w:type w:val="continuous"/>
          <w:pgSz w:w="12677" w:h="18942"/>
          <w:pgMar w:top="245" w:right="628" w:bottom="400" w:left="709" w:header="0" w:footer="3" w:gutter="0"/>
          <w:cols w:space="720"/>
          <w:noEndnote/>
          <w:docGrid w:linePitch="360"/>
        </w:sectPr>
      </w:pPr>
    </w:p>
    <w:p w:rsidR="000E2A4A" w:rsidRDefault="000E2A4A" w:rsidP="006A4AFD">
      <w:pPr>
        <w:spacing w:line="360" w:lineRule="exact"/>
      </w:pPr>
    </w:p>
    <w:p w:rsidR="006A4AFD" w:rsidRPr="00627DBF" w:rsidRDefault="006A4AFD" w:rsidP="006A4AFD">
      <w:pPr>
        <w:pStyle w:val="1"/>
        <w:framePr w:w="3101" w:h="298" w:wrap="none" w:vAnchor="text" w:hAnchor="page" w:x="841" w:y="353"/>
        <w:ind w:left="142"/>
        <w:rPr>
          <w:color w:val="auto"/>
        </w:rPr>
      </w:pPr>
      <w:r w:rsidRPr="00627DBF">
        <w:rPr>
          <w:rStyle w:val="a3"/>
          <w:color w:val="auto"/>
        </w:rPr>
        <w:t>Deputy Chairman</w:t>
      </w:r>
      <w:bookmarkStart w:id="0" w:name="_GoBack"/>
      <w:bookmarkEnd w:id="0"/>
    </w:p>
    <w:p w:rsidR="006A4AFD" w:rsidRPr="006A4AFD" w:rsidRDefault="006A4AFD" w:rsidP="006A4AFD">
      <w:pPr>
        <w:pStyle w:val="1"/>
        <w:framePr w:w="1846" w:h="322" w:wrap="none" w:vAnchor="text" w:hAnchor="page" w:x="9466" w:y="338"/>
        <w:ind w:left="142"/>
        <w:rPr>
          <w:color w:val="auto"/>
        </w:rPr>
      </w:pPr>
      <w:r w:rsidRPr="006A4AFD">
        <w:rPr>
          <w:rStyle w:val="a3"/>
          <w:color w:val="auto"/>
        </w:rPr>
        <w:t>O. Kizatov</w:t>
      </w:r>
    </w:p>
    <w:p w:rsidR="000E2A4A" w:rsidRDefault="000E2A4A" w:rsidP="00B753BB">
      <w:pPr>
        <w:spacing w:after="363" w:line="1" w:lineRule="exact"/>
        <w:ind w:left="142"/>
      </w:pPr>
    </w:p>
    <w:p w:rsidR="006A4AFD" w:rsidRPr="0079174C" w:rsidRDefault="006A4AFD" w:rsidP="006A4AFD">
      <w:pPr>
        <w:pStyle w:val="30"/>
        <w:framePr w:w="1216" w:h="456" w:wrap="none" w:vAnchor="text" w:hAnchor="page" w:x="946" w:y="664"/>
        <w:ind w:left="142"/>
        <w:rPr>
          <w:color w:val="auto"/>
          <w:sz w:val="24"/>
          <w:szCs w:val="24"/>
        </w:rPr>
      </w:pPr>
      <w:r w:rsidRPr="0079174C">
        <w:rPr>
          <w:rStyle w:val="3"/>
          <w:color w:val="auto"/>
          <w:sz w:val="24"/>
          <w:szCs w:val="24"/>
        </w:rPr>
        <w:t xml:space="preserve">L.S.                                                                                         </w:t>
      </w:r>
    </w:p>
    <w:p w:rsidR="006A4AFD" w:rsidRPr="00627DBF" w:rsidRDefault="006A4AFD" w:rsidP="006A4AFD">
      <w:pPr>
        <w:pStyle w:val="a5"/>
        <w:framePr w:w="6556" w:h="298" w:wrap="none" w:vAnchor="text" w:hAnchor="page" w:x="5101" w:y="1369"/>
        <w:ind w:left="142"/>
        <w:rPr>
          <w:color w:val="auto"/>
        </w:rPr>
      </w:pPr>
      <w:r w:rsidRPr="00627DBF">
        <w:rPr>
          <w:rStyle w:val="a4"/>
          <w:color w:val="auto"/>
        </w:rPr>
        <w:t xml:space="preserve">Almaty city </w:t>
      </w:r>
      <w:r>
        <w:rPr>
          <w:rStyle w:val="a4"/>
          <w:color w:val="auto"/>
          <w:lang w:val="kk-KZ"/>
        </w:rPr>
        <w:t xml:space="preserve">                                                      </w:t>
      </w:r>
      <w:r>
        <w:rPr>
          <w:color w:val="auto"/>
          <w:lang w:val="ru-RU"/>
        </w:rPr>
        <w:t>№</w:t>
      </w:r>
      <w:r w:rsidRPr="00627DBF">
        <w:rPr>
          <w:rStyle w:val="a4"/>
          <w:color w:val="auto"/>
        </w:rPr>
        <w:t xml:space="preserve"> 0000433</w:t>
      </w:r>
    </w:p>
    <w:p w:rsidR="000E2A4A" w:rsidRDefault="000E2A4A" w:rsidP="00B753BB">
      <w:pPr>
        <w:spacing w:line="1" w:lineRule="exact"/>
        <w:ind w:left="142"/>
      </w:pPr>
    </w:p>
    <w:sectPr w:rsidR="000E2A4A" w:rsidSect="00B753BB">
      <w:type w:val="continuous"/>
      <w:pgSz w:w="12677" w:h="18942"/>
      <w:pgMar w:top="245" w:right="628" w:bottom="40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67" w:rsidRDefault="00707767">
      <w:r>
        <w:separator/>
      </w:r>
    </w:p>
  </w:endnote>
  <w:endnote w:type="continuationSeparator" w:id="0">
    <w:p w:rsidR="00707767" w:rsidRDefault="0070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4A" w:rsidRDefault="000E2A4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67" w:rsidRDefault="00707767"/>
  </w:footnote>
  <w:footnote w:type="continuationSeparator" w:id="0">
    <w:p w:rsidR="00707767" w:rsidRDefault="007077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4A"/>
    <w:rsid w:val="000E2A4A"/>
    <w:rsid w:val="00250CCD"/>
    <w:rsid w:val="00627DBF"/>
    <w:rsid w:val="006A4AFD"/>
    <w:rsid w:val="00707767"/>
    <w:rsid w:val="0079174C"/>
    <w:rsid w:val="008D1FD1"/>
    <w:rsid w:val="00B753BB"/>
    <w:rsid w:val="00E53AA7"/>
    <w:rsid w:val="00EA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C4D3B"/>
  <w15:docId w15:val="{01FDEE5A-EA5B-42C8-BA2F-C96DD1A1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87A7B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D5F"/>
      <w:sz w:val="56"/>
      <w:szCs w:val="5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87A7B"/>
      <w:sz w:val="38"/>
      <w:szCs w:val="3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D5F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787A7B"/>
    </w:rPr>
  </w:style>
  <w:style w:type="paragraph" w:customStyle="1" w:styleId="22">
    <w:name w:val="Основной текст (2)"/>
    <w:basedOn w:val="a"/>
    <w:link w:val="21"/>
    <w:pPr>
      <w:spacing w:after="300"/>
      <w:jc w:val="center"/>
    </w:pPr>
    <w:rPr>
      <w:rFonts w:ascii="Times New Roman" w:eastAsia="Times New Roman" w:hAnsi="Times New Roman" w:cs="Times New Roman"/>
      <w:b/>
      <w:bCs/>
      <w:color w:val="5B5D5F"/>
      <w:sz w:val="56"/>
      <w:szCs w:val="56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787A7B"/>
      <w:sz w:val="38"/>
      <w:szCs w:val="3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5B5D5F"/>
    </w:rPr>
  </w:style>
  <w:style w:type="paragraph" w:styleId="a6">
    <w:name w:val="header"/>
    <w:basedOn w:val="a"/>
    <w:link w:val="a7"/>
    <w:uiPriority w:val="99"/>
    <w:unhideWhenUsed/>
    <w:rsid w:val="00E53A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AA7"/>
    <w:rPr>
      <w:color w:val="000000"/>
    </w:rPr>
  </w:style>
  <w:style w:type="paragraph" w:styleId="a8">
    <w:name w:val="footer"/>
    <w:basedOn w:val="a"/>
    <w:link w:val="a9"/>
    <w:uiPriority w:val="99"/>
    <w:unhideWhenUsed/>
    <w:rsid w:val="00E53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A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design</dc:title>
  <dc:subject/>
  <dc:creator/>
  <cp:keywords/>
  <cp:lastModifiedBy>Samsung2024</cp:lastModifiedBy>
  <cp:revision>9</cp:revision>
  <dcterms:created xsi:type="dcterms:W3CDTF">2025-01-04T18:19:00Z</dcterms:created>
  <dcterms:modified xsi:type="dcterms:W3CDTF">2025-01-04T18:55:00Z</dcterms:modified>
</cp:coreProperties>
</file>